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001-42001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Contineum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w:t>
      </w:r>
    </w:p>
    <w:tbl>
      <w:tblPr>
        <w:tblW w:w="4965" w:type="dxa"/>
        <w:jc w:val="left"/>
        <w:tblInd w:w="0" w:type="dxa"/>
        <w:tblLayout w:type="fixed"/>
        <w:tblCellMar>
          <w:top w:w="28" w:type="dxa"/>
          <w:left w:w="28" w:type="dxa"/>
          <w:bottom w:w="28" w:type="dxa"/>
          <w:right w:w="28" w:type="dxa"/>
        </w:tblCellMar>
      </w:tblPr>
      <w:tblGrid>
        <w:gridCol w:w="1237"/>
        <w:gridCol w:w="1084"/>
        <w:gridCol w:w="1099"/>
        <w:gridCol w:w="451"/>
        <w:gridCol w:w="451"/>
        <w:gridCol w:w="643"/>
      </w:tblGrid>
      <w:tr>
        <w:trPr/>
        <w:tc>
          <w:tcPr>
            <w:tcW w:w="123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27-1467257</w:t>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5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pPr>
            <w:r>
              <w:rPr>
                <w:color w:val="000000"/>
              </w:rPr>
              <w:t> </w:t>
            </w:r>
            <w:r>
              <w:rPr>
                <w:rFonts w:ascii="Times New Roman;serif" w:hAnsi="Times New Roman;serif"/>
                <w:b/>
                <w:color w:val="000000"/>
                <w:sz w:val="16"/>
              </w:rPr>
              <w:t>Identification No.)</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3565 General Atomics Court, Suite 200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San Diego, California</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92121</w:t>
            </w:r>
          </w:p>
        </w:tc>
      </w:tr>
      <w:tr>
        <w:trPr/>
        <w:tc>
          <w:tcPr>
            <w:tcW w:w="34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(858) 333-5280</w:t>
      </w:r>
    </w:p>
    <w:p>
      <w:pPr>
        <w:pStyle w:val="TextBody"/>
        <w:bidi w:val="0"/>
        <w:spacing w:lineRule="auto" w:line="288" w:before="0" w:after="200"/>
        <w:jc w:val="center"/>
        <w:rPr/>
      </w:pPr>
      <w:r>
        <w:rPr>
          <w:rFonts w:ascii="Times New Roman;serif" w:hAnsi="Times New Roman;serif"/>
          <w:b/>
          <w:color w:val="000000"/>
          <w:sz w:val="20"/>
        </w:rPr>
        <w:t>(Registrant</w:t>
      </w:r>
      <w:r>
        <w:rPr>
          <w:color w:val="000000"/>
        </w:rPr>
        <w:t>’</w:t>
      </w:r>
      <w:r>
        <w:rPr>
          <w:rFonts w:ascii="Times New Roman;serif" w:hAnsi="Times New Roman;serif"/>
          <w:b/>
          <w:color w:val="000000"/>
          <w:sz w:val="20"/>
        </w:rPr>
        <w: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w:t>
      </w:r>
    </w:p>
    <w:p>
      <w:pPr>
        <w:pStyle w:val="TextBody"/>
        <w:bidi w:val="0"/>
        <w:spacing w:lineRule="auto" w:line="288" w:before="0" w:after="200"/>
        <w:ind w:left="0" w:right="0" w:firstLine="6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62" w:type="dxa"/>
        <w:jc w:val="left"/>
        <w:tblInd w:w="0" w:type="dxa"/>
        <w:tblLayout w:type="fixed"/>
        <w:tblCellMar>
          <w:top w:w="28" w:type="dxa"/>
          <w:left w:w="28" w:type="dxa"/>
          <w:bottom w:w="28" w:type="dxa"/>
          <w:right w:w="28" w:type="dxa"/>
        </w:tblCellMar>
      </w:tblPr>
      <w:tblGrid>
        <w:gridCol w:w="1604"/>
        <w:gridCol w:w="1409"/>
        <w:gridCol w:w="1426"/>
        <w:gridCol w:w="109"/>
        <w:gridCol w:w="109"/>
        <w:gridCol w:w="109"/>
        <w:gridCol w:w="314"/>
        <w:gridCol w:w="314"/>
        <w:gridCol w:w="316"/>
        <w:gridCol w:w="109"/>
        <w:gridCol w:w="109"/>
        <w:gridCol w:w="109"/>
        <w:gridCol w:w="1118"/>
        <w:gridCol w:w="1118"/>
        <w:gridCol w:w="1589"/>
      </w:tblGrid>
      <w:tr>
        <w:trPr/>
        <w:tc>
          <w:tcPr>
            <w:tcW w:w="16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4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CTNM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200"/>
        <w:ind w:left="0" w:right="0" w:firstLine="6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ind w:left="0" w:right="0" w:firstLine="6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ind w:left="0" w:right="0" w:firstLine="6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6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200"/>
        <w:ind w:left="0" w:right="0" w:firstLine="66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20"/>
        <w:ind w:left="0" w:right="0" w:firstLine="660"/>
        <w:jc w:val="left"/>
        <w:rPr>
          <w:rFonts w:ascii="Times New Roman;serif" w:hAnsi="Times New Roman;serif"/>
          <w:b w:val="false"/>
          <w:color w:val="000000"/>
          <w:sz w:val="20"/>
        </w:rPr>
      </w:pPr>
      <w:r>
        <w:rPr>
          <w:rFonts w:ascii="Times New Roman;serif" w:hAnsi="Times New Roman;serif"/>
          <w:b w:val="false"/>
          <w:color w:val="000000"/>
          <w:sz w:val="20"/>
        </w:rPr>
        <w:t>As of July 24, 2026, the registrant had 37,621,132 total shares outstanding, of which there were 32,958,632 shares of Class A common stock, $0.001 par value per share, outstanding and 4,662,500 shares of Class B common stock,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report include, but are not limited to, statements about:</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likelihood of our clinical trials demonstrating the safety and efficacy of our drug candidates;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timing and progress of our current clinical trials, the expected results of these clinical trials and the timing of initiation of our planned and future clinical trials;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plans relating to the clinical development of our current and future drug candidates, including the size, number and disease indications to be evaluated;</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Janssen Pharmaceutica NV, a Johnson &amp; Johnson (“J&amp;J”) company’s, plans related to the clinical development of PIPE-307;</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clinical translational approach, and our ability to identify and develop drug candidates that can potentially treat inflammatory and fibrotic diseases by targeting biological pathways associated with specific clinical impairment to alter the course of disease;</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size of the market opportunities for our drug candidates;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plans relating to commercializing our drug candidates, if approved;</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success of competing therapies and technologies that are or may become available;</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beneficial characteristics, safety, efficacy, therapeutic effects and potential advantages of our drug candidates;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timing or likelihood of regulatory filings and approval for our drug candidates;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ability to obtain and maintain regulatory approval of our drug candidates and our drug candidates to meet existing or future regulatory standards;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plans relating to the further development and manufacturing of our drug candidates, including additional indications for which we may pursue;</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ability to successfully identify and complete transactions to in-license or otherwise acquire additional drug candidates, technologies, products or businesses;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ability to attract and to enter into commercial arrangements with third parties who have development, regulatory, manufacturing and commercialization expertise;</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plans and ability to obtain or protect intellectual property rights, including extensions of existing patent terms where available, as well as our ability to secure and maintain intellectual property regulatory rights and regulatory protections;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ability to retain our senior management;</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need to hire additional personnel and our ability to attract and retain such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accuracy of our estimates regarding our operating runway, expenses, capital requirements and needs for additional financing;</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sufficiency of our existing capital resources to fund our future operating expenses, development plans and capital expenditure requirements;</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the period during which we expect we will qualify as an emerging growth company under the Jumpstart Our Business Startups Act of 2012, as amended (the “JOBS Act”) or a smaller reporting company;</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our anticipated use of our existing cash, cash equivalents and marketable securities; and</w:t>
      </w:r>
    </w:p>
    <w:p>
      <w:pPr>
        <w:pStyle w:val="TextBody"/>
        <w:bidi w:val="0"/>
        <w:spacing w:lineRule="auto" w:line="288" w:before="0" w:after="200"/>
        <w:ind w:left="0" w:right="0" w:hanging="130"/>
        <w:jc w:val="left"/>
        <w:rPr/>
      </w:pPr>
      <w:r>
        <w:rPr>
          <w:color w:val="000000"/>
        </w:rPr>
        <w:t>•</w:t>
      </w:r>
      <w:r>
        <w:rPr>
          <w:rFonts w:ascii="Times New Roman;serif" w:hAnsi="Times New Roman;serif"/>
          <w:b w:val="false"/>
          <w:color w:val="000000"/>
          <w:sz w:val="20"/>
        </w:rPr>
        <w:t>other risks and uncertainties, including those described under Part II, Item 1A, “Risk Factors” of this Quarterly Report on Form 10-Q.</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of this Quarterly Report on Form 10-Q. Given these uncertainties, you should not place undue reliance on these forward-looking statements or rely on forward-looking statements as predictions of future events. Except as required by law, we assume no obligation to update or revise these forward-looking statements for any reason, even if new information becomes available in the future.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in this Quarterly Report on Form 10-Q to the terms, “Contineum,” the “Company,” “we,” “our,” and “us” refer to Contineum Therapeutics, Inc. and references to our “common stock” refer to our voting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19" w:type="dxa"/>
        <w:jc w:val="left"/>
        <w:tblInd w:w="0" w:type="dxa"/>
        <w:tblLayout w:type="fixed"/>
        <w:tblCellMar>
          <w:top w:w="28" w:type="dxa"/>
          <w:left w:w="28" w:type="dxa"/>
          <w:bottom w:w="28" w:type="dxa"/>
          <w:right w:w="28" w:type="dxa"/>
        </w:tblCellMar>
      </w:tblPr>
      <w:tblGrid>
        <w:gridCol w:w="320"/>
        <w:gridCol w:w="281"/>
        <w:gridCol w:w="283"/>
        <w:gridCol w:w="2452"/>
        <w:gridCol w:w="2452"/>
        <w:gridCol w:w="2460"/>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3">
              <w:r>
                <w:rPr>
                  <w:rStyle w:val="InternetLink"/>
                  <w:rFonts w:ascii="Times New Roman;serif" w:hAnsi="Times New Roman;serif"/>
                  <w:b/>
                  <w:strike w:val="false"/>
                  <w:dstrike w:val="false"/>
                  <w:color w:val="000000"/>
                  <w:sz w:val="20"/>
                  <w:u w:val="none"/>
                  <w:effect w:val="non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3">
              <w:r>
                <w:rPr>
                  <w:rStyle w:val="InternetLink"/>
                  <w:rFonts w:ascii="Times New Roman;serif" w:hAnsi="Times New Roman;serif"/>
                  <w:b w:val="false"/>
                  <w:color w:val="0000FF"/>
                  <w:sz w:val="20"/>
                  <w:u w:val="single"/>
                </w:rPr>
                <w:t>FINANCIAL INFORMATION</w:t>
              </w:r>
            </w:hyperlink>
          </w:p>
        </w:tc>
        <w:tc>
          <w:tcPr>
            <w:tcW w:w="5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6">
              <w:r>
                <w:rPr>
                  <w:rStyle w:val="InternetLink"/>
                  <w:rFonts w:ascii="Times New Roman;serif" w:hAnsi="Times New Roman;serif"/>
                  <w:b w:val="false"/>
                  <w:color w:val="0000FF"/>
                  <w:sz w:val="20"/>
                  <w:u w:val="single"/>
                </w:rPr>
                <w:t>Condensed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6">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9">
              <w:r>
                <w:rPr>
                  <w:rStyle w:val="InternetLink"/>
                  <w:rFonts w:ascii="Times New Roman;serif" w:hAnsi="Times New Roman;serif"/>
                  <w:b w:val="false"/>
                  <w:color w:val="0000FF"/>
                  <w:sz w:val="20"/>
                  <w:u w:val="single"/>
                </w:rPr>
                <w:t>Condensed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9">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22">
              <w:r>
                <w:rPr>
                  <w:rStyle w:val="InternetLink"/>
                  <w:rFonts w:ascii="Times New Roman;serif" w:hAnsi="Times New Roman;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22">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25">
              <w:r>
                <w:rPr>
                  <w:rStyle w:val="InternetLink"/>
                  <w:rFonts w:ascii="Times New Roman;serif" w:hAnsi="Times New Roman;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25">
              <w:r>
                <w:rPr>
                  <w:rStyle w:val="InternetLink"/>
                  <w:rFonts w:ascii="Times New Roman;serif" w:hAnsi="Times New Roman;serif"/>
                  <w:b w:val="false"/>
                  <w:color w:val="0000FF"/>
                  <w:sz w:val="20"/>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28">
              <w:r>
                <w:rPr>
                  <w:rStyle w:val="InternetLink"/>
                  <w:rFonts w:ascii="Times New Roman;serif" w:hAnsi="Times New Roman;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28">
              <w:r>
                <w:rPr>
                  <w:rStyle w:val="InternetLink"/>
                  <w:rFonts w:ascii="Times New Roman;serif" w:hAnsi="Times New Roman;serif"/>
                  <w:b w:val="false"/>
                  <w:color w:val="0000FF"/>
                  <w:sz w:val="20"/>
                  <w:u w:val="singl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31">
              <w:r>
                <w:rPr>
                  <w:rStyle w:val="InternetLink"/>
                  <w:rFonts w:ascii="Times New Roman;serif" w:hAnsi="Times New Roman;serif"/>
                  <w:b w:val="false"/>
                  <w:color w:val="0000FF"/>
                  <w:sz w:val="20"/>
                  <w:u w:val="single"/>
                </w:rPr>
                <w:t>Notes to Unaudited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31">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67">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67">
              <w:r>
                <w:rPr>
                  <w:rStyle w:val="InternetLink"/>
                  <w:rFonts w:ascii="Times New Roman;serif" w:hAnsi="Times New Roman;serif"/>
                  <w:b w:val="false"/>
                  <w:color w:val="0000FF"/>
                  <w:sz w:val="20"/>
                  <w:u w:val="single"/>
                </w:rPr>
                <w:t>16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97">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97">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97">
              <w:r>
                <w:rPr>
                  <w:rStyle w:val="InternetLink"/>
                  <w:rFonts w:ascii="Times New Roman;serif" w:hAnsi="Times New Roman;serif"/>
                  <w:b w:val="false"/>
                  <w:color w:val="0000FF"/>
                  <w:sz w:val="20"/>
                  <w:u w:val="single"/>
                </w:rPr>
                <w:t>26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0">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0">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00">
              <w:r>
                <w:rPr>
                  <w:rStyle w:val="InternetLink"/>
                  <w:rFonts w:ascii="Times New Roman;serif" w:hAnsi="Times New Roman;serif"/>
                  <w:b w:val="false"/>
                  <w:color w:val="0000FF"/>
                  <w:sz w:val="20"/>
                  <w:u w:val="singl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3">
              <w:r>
                <w:rPr>
                  <w:rStyle w:val="InternetLink"/>
                  <w:rFonts w:ascii="Times New Roman;serif" w:hAnsi="Times New Roman;serif"/>
                  <w:b/>
                  <w:strike w:val="false"/>
                  <w:dstrike w:val="false"/>
                  <w:color w:val="000000"/>
                  <w:sz w:val="20"/>
                  <w:u w:val="none"/>
                  <w:effect w:val="non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3">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6">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6">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06">
              <w:r>
                <w:rPr>
                  <w:rStyle w:val="InternetLink"/>
                  <w:rFonts w:ascii="Times New Roman;serif" w:hAnsi="Times New Roman;serif"/>
                  <w:b w:val="false"/>
                  <w:color w:val="0000FF"/>
                  <w:sz w:val="20"/>
                  <w:u w:val="singl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9">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09">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09">
              <w:r>
                <w:rPr>
                  <w:rStyle w:val="InternetLink"/>
                  <w:rFonts w:ascii="Times New Roman;serif" w:hAnsi="Times New Roman;serif"/>
                  <w:b w:val="false"/>
                  <w:color w:val="0000FF"/>
                  <w:sz w:val="20"/>
                  <w:u w:val="singl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12">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1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12">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15">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15">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15">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18">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18">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18">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21">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21">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21">
              <w:r>
                <w:rPr>
                  <w:rStyle w:val="InternetLink"/>
                  <w:rFonts w:ascii="Times New Roman;serif" w:hAnsi="Times New Roman;serif"/>
                  <w:b w:val="false"/>
                  <w:color w:val="0000FF"/>
                  <w:sz w:val="20"/>
                  <w:u w:val="single"/>
                </w:rPr>
                <w:t>29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27">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27">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27">
              <w:r>
                <w:rPr>
                  <w:rStyle w:val="InternetLink"/>
                  <w:rFonts w:ascii="Times New Roman;serif" w:hAnsi="Times New Roman;serif"/>
                  <w:b w:val="false"/>
                  <w:color w:val="0000FF"/>
                  <w:sz w:val="20"/>
                  <w:u w:val="single"/>
                </w:rPr>
                <w:t>31</w:t>
              </w:r>
            </w:hyperlink>
          </w:p>
        </w:tc>
      </w:tr>
      <w:tr>
        <w:trPr/>
        <w:tc>
          <w:tcPr>
            <w:tcW w:w="82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a75e312dbc4c53824ad1db6493b10c_130">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aa75e312dbc4c53824ad1db6493b10c_130">
              <w:r>
                <w:rPr>
                  <w:rStyle w:val="InternetLink"/>
                  <w:rFonts w:ascii="Times New Roman;serif" w:hAnsi="Times New Roman;serif"/>
                  <w:b w:val="false"/>
                  <w:color w:val="0000FF"/>
                  <w:sz w:val="20"/>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par value data) </w:t>
      </w:r>
    </w:p>
    <w:tbl>
      <w:tblPr>
        <w:tblW w:w="10205" w:type="dxa"/>
        <w:jc w:val="left"/>
        <w:tblInd w:w="0" w:type="dxa"/>
        <w:tblLayout w:type="fixed"/>
        <w:tblCellMar>
          <w:top w:w="28" w:type="dxa"/>
          <w:left w:w="28" w:type="dxa"/>
          <w:bottom w:w="28" w:type="dxa"/>
          <w:right w:w="28" w:type="dxa"/>
        </w:tblCellMar>
      </w:tblPr>
      <w:tblGrid>
        <w:gridCol w:w="2808"/>
        <w:gridCol w:w="2275"/>
        <w:gridCol w:w="2218"/>
        <w:gridCol w:w="218"/>
        <w:gridCol w:w="857"/>
        <w:gridCol w:w="113"/>
        <w:gridCol w:w="109"/>
        <w:gridCol w:w="109"/>
        <w:gridCol w:w="109"/>
        <w:gridCol w:w="245"/>
        <w:gridCol w:w="961"/>
        <w:gridCol w:w="183"/>
      </w:tblGrid>
      <w:tr>
        <w:trPr/>
        <w:tc>
          <w:tcPr>
            <w:tcW w:w="280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75,603 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187,293 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242,580 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267,917 </w:t>
            </w:r>
          </w:p>
        </w:tc>
        <w:tc>
          <w:tcPr>
            <w:tcW w:w="18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250,367 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276,642 </w:t>
            </w:r>
          </w:p>
        </w:tc>
        <w:tc>
          <w:tcPr>
            <w:tcW w:w="18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18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1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15,653 </w:t>
            </w:r>
          </w:p>
        </w:tc>
        <w:tc>
          <w:tcPr>
            <w:tcW w:w="18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authorized shares—200,000,000 at June 30, 2026 and December 31, 2025; issued and outstanding shares—32,950,909 and 31,236,787 at June 30, 2026 and December 31, 2025, respectively.</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authorized shares—20,000,000 at June 30, 2026 and December 31, 2025; issued and outstanding shares—4,662,500 and 6,083,338 at June 30, 2026 and December 31, 2025, respectively.</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authorized shares—10,000,000 at June 30, 2026 and December 31, 2025; no shares issued or outstanding at June 30, 2026 and December 31, 2025.</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438,072 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(177,380)</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7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239,660 </w:t>
            </w:r>
          </w:p>
        </w:tc>
        <w:tc>
          <w:tcPr>
            <w:tcW w:w="1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260,989 </w:t>
            </w:r>
          </w:p>
        </w:tc>
        <w:tc>
          <w:tcPr>
            <w:tcW w:w="18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250,367 </w:t>
            </w:r>
          </w:p>
        </w:tc>
        <w:tc>
          <w:tcPr>
            <w:tcW w:w="11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276,642 </w:t>
            </w:r>
          </w:p>
        </w:tc>
        <w:tc>
          <w:tcPr>
            <w:tcW w:w="18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tbl>
      <w:tblPr>
        <w:tblW w:w="10205" w:type="dxa"/>
        <w:jc w:val="left"/>
        <w:tblInd w:w="0" w:type="dxa"/>
        <w:tblLayout w:type="fixed"/>
        <w:tblCellMar>
          <w:top w:w="28" w:type="dxa"/>
          <w:left w:w="28" w:type="dxa"/>
          <w:bottom w:w="28" w:type="dxa"/>
          <w:right w:w="28" w:type="dxa"/>
        </w:tblCellMar>
      </w:tblPr>
      <w:tblGrid>
        <w:gridCol w:w="1847"/>
        <w:gridCol w:w="1445"/>
        <w:gridCol w:w="1451"/>
        <w:gridCol w:w="214"/>
        <w:gridCol w:w="792"/>
        <w:gridCol w:w="110"/>
        <w:gridCol w:w="110"/>
        <w:gridCol w:w="110"/>
        <w:gridCol w:w="110"/>
        <w:gridCol w:w="214"/>
        <w:gridCol w:w="792"/>
        <w:gridCol w:w="110"/>
        <w:gridCol w:w="109"/>
        <w:gridCol w:w="109"/>
        <w:gridCol w:w="109"/>
        <w:gridCol w:w="211"/>
        <w:gridCol w:w="778"/>
        <w:gridCol w:w="109"/>
        <w:gridCol w:w="109"/>
        <w:gridCol w:w="109"/>
        <w:gridCol w:w="109"/>
        <w:gridCol w:w="211"/>
        <w:gridCol w:w="778"/>
        <w:gridCol w:w="159"/>
      </w:tblGrid>
      <w:tr>
        <w:trPr/>
        <w:tc>
          <w:tcPr>
            <w:tcW w:w="184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17,428 </w:t>
            </w:r>
          </w:p>
        </w:tc>
        <w:tc>
          <w:tcPr>
            <w:tcW w:w="1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36,012 </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(15,154)</w:t>
            </w:r>
          </w:p>
        </w:tc>
        <w:tc>
          <w:tcPr>
            <w:tcW w:w="1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(16,040)</w:t>
            </w:r>
          </w:p>
        </w:tc>
        <w:tc>
          <w:tcPr>
            <w:tcW w:w="11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5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securities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(15,474)</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(16,063)</w:t>
            </w:r>
          </w:p>
        </w:tc>
        <w:tc>
          <w:tcPr>
            <w:tcW w:w="11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(31,954)</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Net loss per share, basic and diluted </w:t>
            </w:r>
            <w:r>
              <w:rPr>
                <w:rFonts w:ascii="Times New Roman;serif" w:hAnsi="Times New Roman;serif"/>
                <w:b w:val="false"/>
                <w:color w:val="000000"/>
                <w:sz w:val="13"/>
              </w:rPr>
              <w:t>(a)</w:t>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 and diluted</w:t>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37,467,840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25,895,996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37,403,789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25,882,540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Basic and diluted per share amounts are the same for Class A and Class B shares.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0"/>
        <w:jc w:val="center"/>
        <w:rPr/>
      </w:pPr>
      <w:r>
        <w:rPr>
          <w:rFonts w:ascii="Times New Roman;serif" w:hAnsi="Times New Roman;serif"/>
          <w:b/>
          <w:color w:val="000000"/>
          <w:sz w:val="20"/>
        </w:rPr>
        <w:t>CONDENSED STATEMENTS OF</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(in thousands, except share data) </w:t>
      </w:r>
    </w:p>
    <w:tbl>
      <w:tblPr>
        <w:tblW w:w="10205" w:type="dxa"/>
        <w:jc w:val="left"/>
        <w:tblInd w:w="0" w:type="dxa"/>
        <w:tblLayout w:type="fixed"/>
        <w:tblCellMar>
          <w:top w:w="28" w:type="dxa"/>
          <w:left w:w="28" w:type="dxa"/>
          <w:bottom w:w="28" w:type="dxa"/>
          <w:right w:w="28" w:type="dxa"/>
        </w:tblCellMar>
      </w:tblPr>
      <w:tblGrid>
        <w:gridCol w:w="743"/>
        <w:gridCol w:w="429"/>
        <w:gridCol w:w="430"/>
        <w:gridCol w:w="344"/>
        <w:gridCol w:w="344"/>
        <w:gridCol w:w="348"/>
        <w:gridCol w:w="112"/>
        <w:gridCol w:w="112"/>
        <w:gridCol w:w="112"/>
        <w:gridCol w:w="279"/>
        <w:gridCol w:w="401"/>
        <w:gridCol w:w="112"/>
        <w:gridCol w:w="109"/>
        <w:gridCol w:w="109"/>
        <w:gridCol w:w="109"/>
        <w:gridCol w:w="211"/>
        <w:gridCol w:w="826"/>
        <w:gridCol w:w="109"/>
        <w:gridCol w:w="109"/>
        <w:gridCol w:w="109"/>
        <w:gridCol w:w="109"/>
        <w:gridCol w:w="383"/>
        <w:gridCol w:w="875"/>
        <w:gridCol w:w="199"/>
        <w:gridCol w:w="109"/>
        <w:gridCol w:w="109"/>
        <w:gridCol w:w="109"/>
        <w:gridCol w:w="211"/>
        <w:gridCol w:w="896"/>
        <w:gridCol w:w="109"/>
        <w:gridCol w:w="109"/>
        <w:gridCol w:w="109"/>
        <w:gridCol w:w="109"/>
        <w:gridCol w:w="231"/>
        <w:gridCol w:w="905"/>
        <w:gridCol w:w="176"/>
      </w:tblGrid>
      <w:tr>
        <w:trPr/>
        <w:tc>
          <w:tcPr>
            <w:tcW w:w="7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and 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Stockholders'</w:t>
              <w:br/>
              <w:t>Equity</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37,320,125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438,072 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9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(177,380)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260,989 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37,386,377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9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(191,836)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250,041 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through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120,757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36" w:type="dxa"/>
            <w:gridSpan w:val="3"/>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37,613,409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9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239,660 </w:t>
            </w:r>
          </w:p>
        </w:tc>
        <w:tc>
          <w:tcPr>
            <w:tcW w:w="1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2"/>
        <w:gridCol w:w="427"/>
        <w:gridCol w:w="429"/>
        <w:gridCol w:w="344"/>
        <w:gridCol w:w="344"/>
        <w:gridCol w:w="348"/>
        <w:gridCol w:w="112"/>
        <w:gridCol w:w="112"/>
        <w:gridCol w:w="112"/>
        <w:gridCol w:w="279"/>
        <w:gridCol w:w="401"/>
        <w:gridCol w:w="112"/>
        <w:gridCol w:w="109"/>
        <w:gridCol w:w="109"/>
        <w:gridCol w:w="109"/>
        <w:gridCol w:w="211"/>
        <w:gridCol w:w="826"/>
        <w:gridCol w:w="109"/>
        <w:gridCol w:w="109"/>
        <w:gridCol w:w="109"/>
        <w:gridCol w:w="109"/>
        <w:gridCol w:w="391"/>
        <w:gridCol w:w="866"/>
        <w:gridCol w:w="204"/>
        <w:gridCol w:w="109"/>
        <w:gridCol w:w="109"/>
        <w:gridCol w:w="109"/>
        <w:gridCol w:w="211"/>
        <w:gridCol w:w="896"/>
        <w:gridCol w:w="109"/>
        <w:gridCol w:w="109"/>
        <w:gridCol w:w="109"/>
        <w:gridCol w:w="109"/>
        <w:gridCol w:w="231"/>
        <w:gridCol w:w="905"/>
        <w:gridCol w:w="176"/>
      </w:tblGrid>
      <w:tr>
        <w:trPr/>
        <w:tc>
          <w:tcPr>
            <w:tcW w:w="74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and 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Other </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Equity</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25,854,549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315,371 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(117,402)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198,066 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25,871,549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317,964 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(133,392)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184,768 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through employee stock purchase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securities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25,919,895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320,649 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171,390 </w:t>
            </w:r>
          </w:p>
        </w:tc>
        <w:tc>
          <w:tcPr>
            <w:tcW w:w="1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40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CONTINEUM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8333" w:type="dxa"/>
        <w:jc w:val="left"/>
        <w:tblInd w:w="0" w:type="dxa"/>
        <w:tblLayout w:type="fixed"/>
        <w:tblCellMar>
          <w:top w:w="28" w:type="dxa"/>
          <w:left w:w="28" w:type="dxa"/>
          <w:bottom w:w="28" w:type="dxa"/>
          <w:right w:w="28" w:type="dxa"/>
        </w:tblCellMar>
      </w:tblPr>
      <w:tblGrid>
        <w:gridCol w:w="2075"/>
        <w:gridCol w:w="1821"/>
        <w:gridCol w:w="1833"/>
        <w:gridCol w:w="211"/>
        <w:gridCol w:w="796"/>
        <w:gridCol w:w="109"/>
        <w:gridCol w:w="109"/>
        <w:gridCol w:w="109"/>
        <w:gridCol w:w="109"/>
        <w:gridCol w:w="211"/>
        <w:gridCol w:w="796"/>
        <w:gridCol w:w="154"/>
      </w:tblGrid>
      <w:tr>
        <w:trPr/>
        <w:tc>
          <w:tcPr>
            <w:tcW w:w="207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premiums/discounts on marketable securities,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(27,767)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(30,073)</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88,018 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(34,454)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offering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14,711 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20,784 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CONTINEUM THERAPEUTICS,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1. Organization and Basis of Presentation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Organization and Nature of Operations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Contineum Therapeutics, Inc. (the “Company”), is a clinical-stage biopharmaceutical company pioneering differentiated small molecule therapies for inflammatory and fibrotic diseases with significant unmet need. The Company was incorporated in the state of Delaware in 2009, and in November 2023 changed its name from Pipeline Therapeutics, Inc. to Contineum Therapeutics, Inc.</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Liquidity and Capital Resources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devoted substantially all its resources to research and development activities, business planning, establishing and maintaining its intellectual property portfolio, hiring personnel, raising capital to support and expand such activities and providing general and administrative support for these operations. The Company incurred a net loss of $15.2 million and $29.6 million for the three and six months ended June 30, 2026, respectively. The Company had an accumulated deficit of $207.0 million as of June 30, 2026. From its inception through June 30, 2026, the Company has financed its operations primarily from the sale of equity securities and convertible equity securities, and a global license and development agreement (the “J&amp;J License Agreement”) the Company entered in February 2023 with Janssen Pharmaceutica NV, a Johnson &amp; Johnson company.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2025, the Company entered into a Sales Agreement with Leerink Partners LLC (the “ATM Sales Agreement”) relating to the offer and sale of up to $75.0 million in shares of its Class A common stock, par value $0.001 per share (“Class A common stock”) in an “at-the-market” offering program (the “ATM Program”). In March 2026, the Company entered into Amendment No. 1 to the ATM Sales Agreement (the “ATM Amendment”) with Leerink Partners to increase the aggregate offering price of the shares of its Class A common stock that the Company may sell pursuant to the ATM Sales Agreement, as amended (the “Amended ATM Sales Agreement”). In connection with the ATM Amendment, the Company filed a prospectus supplement (the “ATM Prospectus Supplement”) for the offer and sale of up to $100.0 million in shares of its Class A common stock under the Amended ATM Sales Agreement, exclusive of amounts previously sold under the ATM Sales Agreement. The Company did not sell any shares of its Class A common stock under the Amended ATM Sales Agreement during the three and six months ended June 30, 2026.</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completed a follow-on public offering in which 8,097,570 shares of its Class A common stock were sold at a public offering price of $12.25 per share resulting in aggregate net proceeds of $93.0 million.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cash, cash equivalents and marketable securities of $236.6 million. Management believes the Company's existing cash, cash equivalents and marketable securities will be sufficient to support its operations for at least 12 months from the issuance date of these unaudited condensed financial statements.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the Company continues to pursue its business plan, it expects to finance its operations through both public and private sales of equity, debt financings or other commercial arrangements, which could include income from collaborations, strategic partnerships or marketing, distribution, licensing or other strategic arrangements with third parties. However, there can be no assurance that any additional financing or strategic transactions will be available to the Company 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financial condition and cash flows. Further, if the Company raises funds through licensing or other similar arrangements with third parties, it may be required to relinquish valuable rights to its technology, future revenue streams, research programs or drug candidates or may be required to grant licenses on terms that may not be favorable to it and/or may reduce the value of its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Unaudited Interim Condensed Financial Statements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balance sheet as of June 30, 2026, condensed statements of operations and comprehensive loss and condensed statements of stockholders’ equity for the three and six months ended June 30, 2026 and 2025, and condensed statements of cash flows for the six months ended June 30, 2026 and 2025, and related notes to condensed financial statements are unaudited. These unaudited interim condensed financial statements have been prepared on the same basis as the Company’s annual financial statements and, in the opinion of management, reflect all adjustments (consisting only of normal recurring adjustments) that are necessary for the fair statement of the Company’s financial position,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operations and cash flows for the periods presented. The condensed results of operations for the three and six months ended June 30, 2026 are not necessarily indicative of the results to be expected for the full year or for any other future annual or interim period. The condensed balance sheet as of December 31, 2025 included herein was derived from the audited financial statements as of that date. These interim unaudited condensed financial statements should be read in conjunction with the Company’s audited financial statements for the year ended December 31, 2025 included in the Company’s Annual Report on Form 10-K, filed with the Securities and Exchange Commission (“SEC”) on March 5,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significant changes to the Company's significant accounting policies as described in the Company's Annual Report on Form 10-K for the year ended December 31, 2025, filed with the SEC on March 5,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condensed financial statements in accordance with U.S. generally accepted accounting principles (“U.S. GAAP”) and the requirements of the SEC for interim reporting. As permitted under those rules, certain footnotes or other financial information that are normally required by U.S. GAAP can be condensed or omitted. The financial statements are presented in U.S. dollars. Any reference in these notes to applicable guidance is meant to refer to U.S. GAAP as found in the Accounting Standards Codification (“ASC”) and Accounting Standards Updates (“ASU”) promulgated by the Financial Accounting Standards Board (“FASB”).</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Company’s financial statements and accompanying notes. Accounting estimates and management judgments reflected in the financial statements include: the accrual of research and development expenses; the incremental borrowing rate used to recognize the right-of-use assets and lease liabilities; the fair value of common stock; and stock-based compensation. Although these estimates are based on the Company’s knowledge of current events and actions it may undertake in the future, actual results may materially differ from these estimates and assumptions.</w:t>
      </w:r>
    </w:p>
    <w:p>
      <w:pPr>
        <w:pStyle w:val="TextBody"/>
        <w:bidi w:val="0"/>
        <w:spacing w:lineRule="auto" w:line="288" w:before="0" w:after="200"/>
        <w:jc w:val="left"/>
        <w:rPr/>
      </w:pPr>
      <w:r>
        <w:rPr>
          <w:rFonts w:ascii="Times New Roman;serif" w:hAnsi="Times New Roman;serif"/>
          <w:b/>
          <w:i/>
          <w:color w:val="000000"/>
          <w:sz w:val="20"/>
        </w:rPr>
        <w:t>Recently Issued Accounting Pronouncements</w:t>
      </w:r>
      <w:r>
        <w:rPr>
          <w:color w:val="000000"/>
        </w:rPr>
        <w:t xml:space="preserve"> </w:t>
      </w:r>
      <w:r>
        <w:rPr>
          <w:rFonts w:ascii="Times New Roman;serif" w:hAnsi="Times New Roman;serif"/>
          <w:b/>
          <w:i/>
          <w:color w:val="000000"/>
          <w:sz w:val="20"/>
        </w:rPr>
        <w:t>Not</w:t>
      </w:r>
      <w:r>
        <w:rPr>
          <w:color w:val="000000"/>
        </w:rPr>
        <w:t xml:space="preserve"> </w:t>
      </w:r>
      <w:r>
        <w:rPr>
          <w:rFonts w:ascii="Times New Roman;serif" w:hAnsi="Times New Roman;serif"/>
          <w:b/>
          <w:i/>
          <w:color w:val="000000"/>
          <w:sz w:val="20"/>
        </w:rPr>
        <w:t>Yet Adopted</w:t>
      </w:r>
    </w:p>
    <w:p>
      <w:pPr>
        <w:pStyle w:val="TextBody"/>
        <w:bidi w:val="0"/>
        <w:spacing w:lineRule="auto" w:line="288" w:before="0" w:after="200"/>
        <w:ind w:left="0" w:right="0" w:firstLine="54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This standard requires a public entity to disaggregate certain income statement expenses. ASU 2024-03 is effective for annual reporting periods beginning after December 15, 2026, and interim reporting periods within annual reporting periods beginning after December 15, 2027, with early adoption permitted. The Company is currently evaluating the impact of this guidance on its financial statements.</w:t>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(“ASU 2025-11”). This standard clarifies the applicability of interim reporting guidance under U.S. GAAP, provides a comprehensive list of interim disclosure requirements within Topic 270, and introduces a disclosure principle requiring entities to provide information about events and changes occurring after the end of the most recent annual reporting period that have a material impact on the entity. The ASU does not change the fundamental nature of interim reporting or expand or reduce existing interim disclosure requirements. ASU 2025-11 is effective for interim reporting periods within annual reporting periods beginning after December 15, 2027 for public business entities, with early adoption permitted. The Company is currently evaluating the impact of this guidance on its interim financial reporting and related disclosures.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In December 2025, the FASB issued ASU No. 2025-12, </w:t>
      </w:r>
      <w:r>
        <w:rPr>
          <w:rFonts w:ascii="Times New Roman;serif" w:hAnsi="Times New Roman;serif"/>
          <w:b w:val="false"/>
          <w:i/>
          <w:color w:val="000000"/>
          <w:sz w:val="20"/>
        </w:rPr>
        <w:t>Codification Improvements</w:t>
      </w:r>
      <w:r>
        <w:rPr>
          <w:color w:val="000000"/>
        </w:rPr>
        <w:t xml:space="preserve"> </w:t>
      </w:r>
      <w:r>
        <w:rPr>
          <w:rFonts w:ascii="Times New Roman;serif" w:hAnsi="Times New Roman;serif"/>
          <w:b w:val="false"/>
          <w:color w:val="000000"/>
          <w:sz w:val="20"/>
        </w:rPr>
        <w:t>(“ASU 2025-12”). This standard addresses suggestions received from stakeholders regarding the ASC and makes other incremental improvements to U.S. GAAP. The update represents changes to the Codification that clarify, correct errors in or make other improvements to a variety of topics that are intended to make it easier to understand and apply. ASU 2025-12 is effective for annual reporting periods beginning after December 15, 2026, and interim periods within those annual periods, with early adoption permitted. Entities are required to apply the amendments to ASC 260 retrospectively. All other amendments may be applied prospectively or retrospectively. Early adoption is permitted. The Company is currently evaluating the impact of this guidance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3. Cash Equivalents and Marketable Securities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fair value of the Company’s cash equivalents and marketable securities by major investment category (in thousands):</w:t>
      </w:r>
    </w:p>
    <w:tbl>
      <w:tblPr>
        <w:tblW w:w="10069" w:type="dxa"/>
        <w:jc w:val="left"/>
        <w:tblInd w:w="0" w:type="dxa"/>
        <w:tblLayout w:type="fixed"/>
        <w:tblCellMar>
          <w:top w:w="28" w:type="dxa"/>
          <w:left w:w="28" w:type="dxa"/>
          <w:bottom w:w="28" w:type="dxa"/>
          <w:right w:w="28" w:type="dxa"/>
        </w:tblCellMar>
      </w:tblPr>
      <w:tblGrid>
        <w:gridCol w:w="1064"/>
        <w:gridCol w:w="936"/>
        <w:gridCol w:w="940"/>
        <w:gridCol w:w="539"/>
        <w:gridCol w:w="539"/>
        <w:gridCol w:w="541"/>
        <w:gridCol w:w="109"/>
        <w:gridCol w:w="109"/>
        <w:gridCol w:w="109"/>
        <w:gridCol w:w="262"/>
        <w:gridCol w:w="1027"/>
        <w:gridCol w:w="135"/>
        <w:gridCol w:w="109"/>
        <w:gridCol w:w="109"/>
        <w:gridCol w:w="109"/>
        <w:gridCol w:w="211"/>
        <w:gridCol w:w="406"/>
        <w:gridCol w:w="109"/>
        <w:gridCol w:w="109"/>
        <w:gridCol w:w="109"/>
        <w:gridCol w:w="109"/>
        <w:gridCol w:w="211"/>
        <w:gridCol w:w="541"/>
        <w:gridCol w:w="109"/>
        <w:gridCol w:w="109"/>
        <w:gridCol w:w="109"/>
        <w:gridCol w:w="109"/>
        <w:gridCol w:w="211"/>
        <w:gridCol w:w="82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6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years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years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127,521 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Yankee debt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years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234,976 </w:t>
            </w:r>
          </w:p>
        </w:tc>
        <w:tc>
          <w:tcPr>
            <w:tcW w:w="13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234,403 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57" w:type="dxa"/>
        <w:jc w:val="left"/>
        <w:tblInd w:w="0" w:type="dxa"/>
        <w:tblLayout w:type="fixed"/>
        <w:tblCellMar>
          <w:top w:w="28" w:type="dxa"/>
          <w:left w:w="28" w:type="dxa"/>
          <w:bottom w:w="28" w:type="dxa"/>
          <w:right w:w="28" w:type="dxa"/>
        </w:tblCellMar>
      </w:tblPr>
      <w:tblGrid>
        <w:gridCol w:w="1065"/>
        <w:gridCol w:w="935"/>
        <w:gridCol w:w="940"/>
        <w:gridCol w:w="539"/>
        <w:gridCol w:w="539"/>
        <w:gridCol w:w="541"/>
        <w:gridCol w:w="109"/>
        <w:gridCol w:w="109"/>
        <w:gridCol w:w="109"/>
        <w:gridCol w:w="262"/>
        <w:gridCol w:w="1027"/>
        <w:gridCol w:w="135"/>
        <w:gridCol w:w="109"/>
        <w:gridCol w:w="109"/>
        <w:gridCol w:w="109"/>
        <w:gridCol w:w="211"/>
        <w:gridCol w:w="466"/>
        <w:gridCol w:w="109"/>
        <w:gridCol w:w="109"/>
        <w:gridCol w:w="109"/>
        <w:gridCol w:w="109"/>
        <w:gridCol w:w="235"/>
        <w:gridCol w:w="331"/>
        <w:gridCol w:w="123"/>
        <w:gridCol w:w="109"/>
        <w:gridCol w:w="109"/>
        <w:gridCol w:w="109"/>
        <w:gridCol w:w="211"/>
        <w:gridCol w:w="82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6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years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41,238 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41,373 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 years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Yankee debt</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years or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187,033 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187,293 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regularly reviews the securities in an unrealized loss position and evaluates the current expected credit loss by considering factors such as historical experience, market data, issuer-specific factors, current and expected future economic conditions. The Company has no requirement or intention to sell these securities before maturity or recovery of their amortized cost basis. As of June 30, 2026 and December 31, 2025, the Company did not record an allowance for credit loss related to its investment portfolio. As of June 30, 2026, 135 out of 202 of the Company’s cash equivalents and available-for-sale debt securities were in an aggregate gross unrealized loss position. The unrealized losses were broadly distributed across the portfolio and not concentrated in any one security. As of December 31, 2025, 7 out of 225 of the Company’s available-for-sale debt securities were in an aggregate gross unrealized loss position. As of June 30, 2026 and December 31, 2025, all of the Company’s available-for-sale debt securities in an unrealized loss position for which an allowance for credit losses has not been recorded had been in a continuous unrealized loss position for less than 12 months. Based on the Company’s review of these investments as of June 30, 2026, the Company believes none of the unrealized loss positions were not other-than-temporary in nature.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cash equivalents and available-for-sale debt securities in an unrealized loss position for which an allowance for credit losses has not been recorded, aggregated by major security type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tbl>
      <w:tblPr>
        <w:tblW w:w="6092" w:type="dxa"/>
        <w:jc w:val="left"/>
        <w:tblInd w:w="0" w:type="dxa"/>
        <w:tblLayout w:type="fixed"/>
        <w:tblCellMar>
          <w:top w:w="28" w:type="dxa"/>
          <w:left w:w="28" w:type="dxa"/>
          <w:bottom w:w="28" w:type="dxa"/>
          <w:right w:w="28" w:type="dxa"/>
        </w:tblCellMar>
      </w:tblPr>
      <w:tblGrid>
        <w:gridCol w:w="1064"/>
        <w:gridCol w:w="936"/>
        <w:gridCol w:w="940"/>
        <w:gridCol w:w="211"/>
        <w:gridCol w:w="826"/>
        <w:gridCol w:w="109"/>
        <w:gridCol w:w="109"/>
        <w:gridCol w:w="109"/>
        <w:gridCol w:w="109"/>
        <w:gridCol w:w="418"/>
        <w:gridCol w:w="954"/>
        <w:gridCol w:w="307"/>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Yankee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87" w:type="dxa"/>
        <w:jc w:val="left"/>
        <w:tblInd w:w="0" w:type="dxa"/>
        <w:tblLayout w:type="fixed"/>
        <w:tblCellMar>
          <w:top w:w="28" w:type="dxa"/>
          <w:left w:w="28" w:type="dxa"/>
          <w:bottom w:w="28" w:type="dxa"/>
          <w:right w:w="28" w:type="dxa"/>
        </w:tblCellMar>
      </w:tblPr>
      <w:tblGrid>
        <w:gridCol w:w="1065"/>
        <w:gridCol w:w="935"/>
        <w:gridCol w:w="940"/>
        <w:gridCol w:w="211"/>
        <w:gridCol w:w="721"/>
        <w:gridCol w:w="109"/>
        <w:gridCol w:w="109"/>
        <w:gridCol w:w="109"/>
        <w:gridCol w:w="109"/>
        <w:gridCol w:w="556"/>
        <w:gridCol w:w="715"/>
        <w:gridCol w:w="408"/>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Unrealized Losses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288" w:before="0" w:after="200"/>
        <w:ind w:left="0" w:right="0" w:firstLine="540"/>
        <w:jc w:val="left"/>
        <w:rPr/>
      </w:pPr>
      <w:r>
        <w:rPr>
          <w:rFonts w:ascii="Times New Roman;serif" w:hAnsi="Times New Roman;serif"/>
          <w:b/>
          <w:color w:val="000000"/>
          <w:sz w:val="20"/>
        </w:rPr>
        <w:t>Level 1</w:t>
      </w:r>
      <w:r>
        <w:rPr>
          <w:color w:val="000000"/>
        </w:rPr>
        <w:t>—</w:t>
      </w:r>
      <w:r>
        <w:rPr>
          <w:rFonts w:ascii="Times New Roman;serif" w:hAnsi="Times New Roman;serif"/>
          <w:b w:val="false"/>
          <w:color w:val="000000"/>
          <w:sz w:val="20"/>
        </w:rPr>
        <w:t>Unadjusted quoted prices in active markets that are accessible at the measurement date for identical, unrestricted assets or liabilities.</w:t>
      </w:r>
    </w:p>
    <w:p>
      <w:pPr>
        <w:pStyle w:val="TextBody"/>
        <w:bidi w:val="0"/>
        <w:spacing w:lineRule="auto" w:line="288" w:before="0" w:after="200"/>
        <w:ind w:left="0" w:right="0" w:firstLine="540"/>
        <w:jc w:val="left"/>
        <w:rPr/>
      </w:pPr>
      <w:r>
        <w:rPr>
          <w:rFonts w:ascii="Times New Roman;serif" w:hAnsi="Times New Roman;serif"/>
          <w:b/>
          <w:color w:val="000000"/>
          <w:sz w:val="20"/>
        </w:rPr>
        <w:t>Level 2</w:t>
      </w:r>
      <w:r>
        <w:rPr>
          <w:color w:val="000000"/>
        </w:rPr>
        <w:t>—</w:t>
      </w:r>
      <w:r>
        <w:rPr>
          <w:rFonts w:ascii="Times New Roman;serif" w:hAnsi="Times New Roman;serif"/>
          <w:b w:val="false"/>
          <w:color w:val="000000"/>
          <w:sz w:val="20"/>
        </w:rPr>
        <w:t>Quoted prices for similar assets and liabilities in active markets, quoted prices in markets that are not active, or inputs which are observable, either directly or indirectly, for substantially the full term of the asset or liability.</w:t>
      </w:r>
    </w:p>
    <w:p>
      <w:pPr>
        <w:pStyle w:val="TextBody"/>
        <w:bidi w:val="0"/>
        <w:spacing w:lineRule="auto" w:line="288" w:before="0" w:after="200"/>
        <w:ind w:left="0" w:right="0" w:firstLine="540"/>
        <w:jc w:val="left"/>
        <w:rPr/>
      </w:pPr>
      <w:r>
        <w:rPr>
          <w:rFonts w:ascii="Times New Roman;serif" w:hAnsi="Times New Roman;serif"/>
          <w:b/>
          <w:color w:val="000000"/>
          <w:sz w:val="20"/>
        </w:rPr>
        <w:t>Level 3</w:t>
      </w:r>
      <w:r>
        <w:rPr>
          <w:color w:val="000000"/>
        </w:rPr>
        <w:t>—</w:t>
      </w:r>
      <w:r>
        <w:rPr>
          <w:rFonts w:ascii="Times New Roman;serif" w:hAnsi="Times New Roman;serif"/>
          <w:b w:val="false"/>
          <w:color w:val="000000"/>
          <w:sz w:val="20"/>
        </w:rPr>
        <w:t>Prices or valuation techniques that require inputs that are both significant to the fair value measurement and unobservable (i.e. supported by little or no market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as follows (in thousands):</w:t>
      </w:r>
    </w:p>
    <w:tbl>
      <w:tblPr>
        <w:tblW w:w="9446" w:type="dxa"/>
        <w:jc w:val="left"/>
        <w:tblInd w:w="0" w:type="dxa"/>
        <w:tblLayout w:type="fixed"/>
        <w:tblCellMar>
          <w:top w:w="28" w:type="dxa"/>
          <w:left w:w="28" w:type="dxa"/>
          <w:bottom w:w="28" w:type="dxa"/>
          <w:right w:w="28" w:type="dxa"/>
        </w:tblCellMar>
      </w:tblPr>
      <w:tblGrid>
        <w:gridCol w:w="1062"/>
        <w:gridCol w:w="933"/>
        <w:gridCol w:w="945"/>
        <w:gridCol w:w="211"/>
        <w:gridCol w:w="826"/>
        <w:gridCol w:w="109"/>
        <w:gridCol w:w="109"/>
        <w:gridCol w:w="109"/>
        <w:gridCol w:w="109"/>
        <w:gridCol w:w="276"/>
        <w:gridCol w:w="1081"/>
        <w:gridCol w:w="142"/>
        <w:gridCol w:w="109"/>
        <w:gridCol w:w="109"/>
        <w:gridCol w:w="109"/>
        <w:gridCol w:w="287"/>
        <w:gridCol w:w="1125"/>
        <w:gridCol w:w="148"/>
        <w:gridCol w:w="109"/>
        <w:gridCol w:w="109"/>
        <w:gridCol w:w="109"/>
        <w:gridCol w:w="361"/>
        <w:gridCol w:w="694"/>
        <w:gridCol w:w="265"/>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Using</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Prices in</w:t>
              <w:br/>
              <w:t>Active Markets</w:t>
              <w:br/>
              <w:t>for Identical</w:t>
              <w:br/>
              <w:t>Assets (Level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w:t>
              <w:br/>
              <w:t>Observable</w:t>
              <w:br/>
              <w:t>Inputs</w:t>
              <w:b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Significant</w:t>
              <w:br/>
              <w:t>Unobservable</w:t>
              <w:br/>
              <w:t>Inputs</w:t>
              <w:br/>
              <w:t>(Level 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erif" w:hAnsi="Times New Roman;serif"/>
                <w:b w:val="false"/>
                <w:color w:val="000000"/>
                <w:sz w:val="20"/>
              </w:rPr>
              <w:t xml:space="preserve">Cash equivalents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127,126 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Yankee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234,403 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59,186 </w:t>
            </w:r>
          </w:p>
        </w:tc>
        <w:tc>
          <w:tcPr>
            <w:tcW w:w="14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175,217 </w:t>
            </w:r>
          </w:p>
        </w:tc>
        <w:tc>
          <w:tcPr>
            <w:tcW w:w="14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Yankee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262,344 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116,424 </w:t>
            </w:r>
          </w:p>
        </w:tc>
        <w:tc>
          <w:tcPr>
            <w:tcW w:w="14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145,920 </w:t>
            </w:r>
          </w:p>
        </w:tc>
        <w:tc>
          <w:tcPr>
            <w:tcW w:w="14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6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(1) Cash equivalents includes $12.2 million in short-term investments and $0.4 million in other cash equivalents.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cash, cash equivalents, prepaid and other current assets, accounts payable, and accrued liabilities, approximate fair value due to their short maturities. Included in cash and cash equivalents at June 30, 2026 and December 31, 2025 are money market funds with a carrying value and fair value of $3.3 million and $6.5 million, respectively, based upon a Level 1 fair value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5. Accrued Expenses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7240" w:type="dxa"/>
        <w:jc w:val="left"/>
        <w:tblInd w:w="0" w:type="dxa"/>
        <w:tblLayout w:type="fixed"/>
        <w:tblCellMar>
          <w:top w:w="28" w:type="dxa"/>
          <w:left w:w="28" w:type="dxa"/>
          <w:bottom w:w="28" w:type="dxa"/>
          <w:right w:w="28" w:type="dxa"/>
        </w:tblCellMar>
      </w:tblPr>
      <w:tblGrid>
        <w:gridCol w:w="1402"/>
        <w:gridCol w:w="1231"/>
        <w:gridCol w:w="1236"/>
        <w:gridCol w:w="287"/>
        <w:gridCol w:w="839"/>
        <w:gridCol w:w="148"/>
        <w:gridCol w:w="109"/>
        <w:gridCol w:w="109"/>
        <w:gridCol w:w="109"/>
        <w:gridCol w:w="380"/>
        <w:gridCol w:w="1112"/>
        <w:gridCol w:w="278"/>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2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4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4,796 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and consulting expenses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8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4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2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pPr>
      <w:r>
        <w:rPr>
          <w:rFonts w:ascii="Times New Roman;serif" w:hAnsi="Times New Roman;serif"/>
          <w:b/>
          <w:color w:val="000000"/>
          <w:sz w:val="20"/>
        </w:rPr>
        <w:t>6. Stockholders</w:t>
      </w:r>
      <w:r>
        <w:rPr>
          <w:color w:val="000000"/>
        </w:rPr>
        <w:t xml:space="preserve">’ </w:t>
      </w:r>
      <w:r>
        <w:rPr>
          <w:rFonts w:ascii="Times New Roman;serif" w:hAnsi="Times New Roman;serif"/>
          <w:b/>
          <w:color w:val="000000"/>
          <w:sz w:val="20"/>
        </w:rPr>
        <w:t>Equity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Common Stock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two classes of common stock: Class A common stock and Class B common stock. Class A common stock has one vote per share and Class B common stock has no votes per share.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Class A common stock and Class B common stock for the six months ended June 30, 2026 (in shares):</w:t>
      </w:r>
    </w:p>
    <w:tbl>
      <w:tblPr>
        <w:tblW w:w="8020" w:type="dxa"/>
        <w:jc w:val="left"/>
        <w:tblInd w:w="0" w:type="dxa"/>
        <w:tblLayout w:type="fixed"/>
        <w:tblCellMar>
          <w:top w:w="28" w:type="dxa"/>
          <w:left w:w="28" w:type="dxa"/>
          <w:bottom w:w="28" w:type="dxa"/>
          <w:right w:w="28" w:type="dxa"/>
        </w:tblCellMar>
      </w:tblPr>
      <w:tblGrid>
        <w:gridCol w:w="1964"/>
        <w:gridCol w:w="1730"/>
        <w:gridCol w:w="1736"/>
        <w:gridCol w:w="344"/>
        <w:gridCol w:w="344"/>
        <w:gridCol w:w="348"/>
        <w:gridCol w:w="153"/>
        <w:gridCol w:w="153"/>
        <w:gridCol w:w="153"/>
        <w:gridCol w:w="319"/>
        <w:gridCol w:w="319"/>
        <w:gridCol w:w="457"/>
      </w:tblGrid>
      <w:tr>
        <w:trPr/>
        <w:tc>
          <w:tcPr>
            <w:tcW w:w="196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4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31,236,787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6,083,338</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66,252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Class B common stock into Class A common stock</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1,420,838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(1,420,838)</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32,723,877</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4,662,500</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106,275</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through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120,757</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32,950,909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4,662,500</w:t>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Class A common stock and Class B common stock for the six months ended June 30, 2025 (in shares):</w:t>
      </w:r>
    </w:p>
    <w:tbl>
      <w:tblPr>
        <w:tblW w:w="7165" w:type="dxa"/>
        <w:jc w:val="left"/>
        <w:tblInd w:w="0" w:type="dxa"/>
        <w:tblLayout w:type="fixed"/>
        <w:tblCellMar>
          <w:top w:w="28" w:type="dxa"/>
          <w:left w:w="28" w:type="dxa"/>
          <w:bottom w:w="28" w:type="dxa"/>
          <w:right w:w="28" w:type="dxa"/>
        </w:tblCellMar>
      </w:tblPr>
      <w:tblGrid>
        <w:gridCol w:w="1698"/>
        <w:gridCol w:w="1495"/>
        <w:gridCol w:w="1501"/>
        <w:gridCol w:w="344"/>
        <w:gridCol w:w="344"/>
        <w:gridCol w:w="348"/>
        <w:gridCol w:w="153"/>
        <w:gridCol w:w="153"/>
        <w:gridCol w:w="153"/>
        <w:gridCol w:w="285"/>
        <w:gridCol w:w="285"/>
        <w:gridCol w:w="406"/>
      </w:tblGrid>
      <w:tr>
        <w:trPr/>
        <w:tc>
          <w:tcPr>
            <w:tcW w:w="16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4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19,125,377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6,729,172</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17,000</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19,142,377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6,729,172</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through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48,346</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19,190,723</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6,729,172</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Class A common stock reserved for future issuance consisted of the following:</w:t>
      </w:r>
    </w:p>
    <w:tbl>
      <w:tblPr>
        <w:tblW w:w="9265" w:type="dxa"/>
        <w:jc w:val="left"/>
        <w:tblInd w:w="0" w:type="dxa"/>
        <w:tblLayout w:type="fixed"/>
        <w:tblCellMar>
          <w:top w:w="28" w:type="dxa"/>
          <w:left w:w="28" w:type="dxa"/>
          <w:bottom w:w="28" w:type="dxa"/>
          <w:right w:w="28" w:type="dxa"/>
        </w:tblCellMar>
      </w:tblPr>
      <w:tblGrid>
        <w:gridCol w:w="2135"/>
        <w:gridCol w:w="1878"/>
        <w:gridCol w:w="1882"/>
        <w:gridCol w:w="424"/>
        <w:gridCol w:w="424"/>
        <w:gridCol w:w="426"/>
        <w:gridCol w:w="109"/>
        <w:gridCol w:w="109"/>
        <w:gridCol w:w="109"/>
        <w:gridCol w:w="517"/>
        <w:gridCol w:w="517"/>
        <w:gridCol w:w="735"/>
      </w:tblGrid>
      <w:tr>
        <w:trPr/>
        <w:tc>
          <w:tcPr>
            <w:tcW w:w="213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 granted and outstanding</w:t>
            </w:r>
          </w:p>
        </w:tc>
        <w:tc>
          <w:tcPr>
            <w:tcW w:w="127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7,656,913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5,548,320</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2024 Equity Incentive Plan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2,042,449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1,707,563</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15,764</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reserved under the 2024 Employee Stock Purchase Plan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436,306</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the 2026 Inducement Plan</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Class B common stock</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6,083,338</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2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15,445,175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13,791,291</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There are no shares of Class B common stock reserved for future issuance as of June 30, 2026 and December 31,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Follow-On Public Offering</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completed a follow-on public offering in which 8,097,570 shares of its Class A common stock were sold at a public offering price of $12.25 per share resulting in aggregate net proceeds of $93.0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Agreement</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2025, the Company entered into the ATM Sales Agreement relating to the offer and sale of up to $75.0 million in shares of its Class A common stock in the ATM Program. In March 2026, the Company entered into the ATM Amendment with Leerink Partners to increase the aggregate offering price of the shares of its Class A common stock that the Company may sell pursuant to the ATM Sales Agreement. In connection with the ATM Amendment, the Company filed the ATM Prospectus Supplement for the offer and sale of up to $100.0 million in shares of its Class A common stock under the Amended ATM Sales Agreement, exclusive of amounts previously sold under the ATM Sales Agreement. The Company did not sell any shares of its Class A common stock under the Amended ATM Sales Agreement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2,042,449 shares of the Company’s Class A common stock available for issuance under the 2024 Equity Incentive Plan (the “2024 Plan”).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January 2026, the Company’s board of directors adopted and approved the 2026 Employment Inducement Equity Incentive Plan (the “2026 Inducement Plan”). The terms of the 2026 Inducement Plan are substantially similar to the terms of the Company’s 2024 Equity Incentive Plan with the exception that incentive stock options may not be issued under the Inducement Plan and awards under the Inducement Plan may only be issued to eligible recipients under the applicable Nasdaq rules. The 2026 Inducement Plan was adopted by the board of directors without stockholder approval pursuant to Rule 5635(c)(4) of the Nasdaq Listing Rules. Under the 2026 Inducement Plan, the Company may grant non-qualified stock options, restricted stock, restricted stock units, stock appreciation rights, and other stock or cash-based awards to an employee in connection with his or her commencement of employment with the Company. The number of shares initially reserved for issuance under the 2026 Inducement Plan was 750,000. Options granted were pursuant to Nasdaq Listing Rule 5635(c)(4) and are subject to service-based vesting conditions. As of June 30, 2026, there were 472,000 shares of the Company’s Class A common stock available for issuance under the 2026 Inducement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Stock Options </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 option activity is as follows:</w:t>
      </w:r>
    </w:p>
    <w:tbl>
      <w:tblPr>
        <w:tblW w:w="10205" w:type="dxa"/>
        <w:jc w:val="left"/>
        <w:tblInd w:w="0" w:type="dxa"/>
        <w:tblLayout w:type="fixed"/>
        <w:tblCellMar>
          <w:top w:w="28" w:type="dxa"/>
          <w:left w:w="28" w:type="dxa"/>
          <w:bottom w:w="28" w:type="dxa"/>
          <w:right w:w="28" w:type="dxa"/>
        </w:tblCellMar>
      </w:tblPr>
      <w:tblGrid>
        <w:gridCol w:w="975"/>
        <w:gridCol w:w="804"/>
        <w:gridCol w:w="809"/>
        <w:gridCol w:w="480"/>
        <w:gridCol w:w="480"/>
        <w:gridCol w:w="482"/>
        <w:gridCol w:w="109"/>
        <w:gridCol w:w="109"/>
        <w:gridCol w:w="109"/>
        <w:gridCol w:w="369"/>
        <w:gridCol w:w="1078"/>
        <w:gridCol w:w="191"/>
        <w:gridCol w:w="109"/>
        <w:gridCol w:w="109"/>
        <w:gridCol w:w="109"/>
        <w:gridCol w:w="602"/>
        <w:gridCol w:w="602"/>
        <w:gridCol w:w="603"/>
        <w:gridCol w:w="109"/>
        <w:gridCol w:w="109"/>
        <w:gridCol w:w="109"/>
        <w:gridCol w:w="338"/>
        <w:gridCol w:w="1156"/>
        <w:gridCol w:w="255"/>
      </w:tblGrid>
      <w:tr>
        <w:trPr/>
        <w:tc>
          <w:tcPr>
            <w:tcW w:w="9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Exercise</w:t>
              <w:b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Weighted- Average Remaining</w:t>
              <w:br/>
              <w:t>Contractual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Aggregate Intrinsic Value (in</w:t>
              <w:br/>
              <w:t>thousands)</w:t>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44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9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18,235 </w:t>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and forfeited</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4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9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41,694 </w:t>
            </w:r>
          </w:p>
        </w:tc>
        <w:tc>
          <w:tcPr>
            <w:tcW w:w="2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June 30, 2026</w:t>
            </w:r>
          </w:p>
        </w:tc>
        <w:tc>
          <w:tcPr>
            <w:tcW w:w="14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41,694 </w:t>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June 30, 2026</w:t>
            </w:r>
          </w:p>
        </w:tc>
        <w:tc>
          <w:tcPr>
            <w:tcW w:w="1442"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28,845 </w:t>
            </w:r>
          </w:p>
        </w:tc>
        <w:tc>
          <w:tcPr>
            <w:tcW w:w="2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of options exercised during the six months ended June 30, 2026 and 2025 was $1.8 million and $0.2 million, respectively, determined as of the date of exercise.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estimated the fair value of stock options using the Black-Scholes valuation model. The Company accounts for any forfeitures of options when they occur. Previously recognized compensation expense for an award is reversed in the period that the award is forfeited. The fair value of stock options expected to vest was estimated using the following weighted-average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tbl>
      <w:tblPr>
        <w:tblW w:w="7802" w:type="dxa"/>
        <w:jc w:val="left"/>
        <w:tblInd w:w="0" w:type="dxa"/>
        <w:tblLayout w:type="fixed"/>
        <w:tblCellMar>
          <w:top w:w="28" w:type="dxa"/>
          <w:left w:w="28" w:type="dxa"/>
          <w:bottom w:w="28" w:type="dxa"/>
          <w:right w:w="28" w:type="dxa"/>
        </w:tblCellMar>
      </w:tblPr>
      <w:tblGrid>
        <w:gridCol w:w="754"/>
        <w:gridCol w:w="664"/>
        <w:gridCol w:w="666"/>
        <w:gridCol w:w="305"/>
        <w:gridCol w:w="219"/>
        <w:gridCol w:w="545"/>
        <w:gridCol w:w="219"/>
        <w:gridCol w:w="219"/>
        <w:gridCol w:w="219"/>
        <w:gridCol w:w="305"/>
        <w:gridCol w:w="219"/>
        <w:gridCol w:w="545"/>
        <w:gridCol w:w="109"/>
        <w:gridCol w:w="109"/>
        <w:gridCol w:w="109"/>
        <w:gridCol w:w="266"/>
        <w:gridCol w:w="200"/>
        <w:gridCol w:w="488"/>
        <w:gridCol w:w="196"/>
        <w:gridCol w:w="196"/>
        <w:gridCol w:w="196"/>
        <w:gridCol w:w="289"/>
        <w:gridCol w:w="196"/>
        <w:gridCol w:w="56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Assumptions:</w:t>
            </w:r>
          </w:p>
        </w:tc>
        <w:tc>
          <w:tcPr>
            <w:tcW w:w="10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per share of stock options granted and expected to vest as of their grant date during the three months ended June 30, 2026 and 2025 was $10.64 and $3.33 per share, respectively. The weighted-average grant-date fair value per share of stock options granted and expected to vest as of their grant date during the six months ended June 30, 2026 and 2025 was $11.90 and $6.37 per share,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Stock-based compensation has been reported in the condensed statements of operations and comprehensive loss as follows (in thousands):</w:t>
      </w:r>
    </w:p>
    <w:tbl>
      <w:tblPr>
        <w:tblW w:w="7686" w:type="dxa"/>
        <w:jc w:val="left"/>
        <w:tblInd w:w="0" w:type="dxa"/>
        <w:tblLayout w:type="fixed"/>
        <w:tblCellMar>
          <w:top w:w="28" w:type="dxa"/>
          <w:left w:w="28" w:type="dxa"/>
          <w:bottom w:w="28" w:type="dxa"/>
          <w:right w:w="28" w:type="dxa"/>
        </w:tblCellMar>
      </w:tblPr>
      <w:tblGrid>
        <w:gridCol w:w="837"/>
        <w:gridCol w:w="734"/>
        <w:gridCol w:w="738"/>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3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1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6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2,418 </w:t>
            </w:r>
          </w:p>
        </w:tc>
        <w:tc>
          <w:tcPr>
            <w:tcW w:w="1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7,663 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4,987 </w:t>
            </w:r>
          </w:p>
        </w:tc>
        <w:tc>
          <w:tcPr>
            <w:tcW w:w="1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approximately $40.1 million of total unrecognized stock-based compensation related to stock-based compensation arrangements, which is expected to be recognized over a weighted-average period of approximately 2.7 years.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595,549 shares of the Company’s Class A common stock reserved and available for issuance under the 2024 Employee Stock Purchase Plan (“2024 ESPP”). During the six months ended June 30, 2026, there were 120,757 shares purchased under the 2024 ESPP and the recorded expense was $0.4 million. During the six months ended June 30, 2025, there were 48,346 shares purchased under the 2024 ESPP and the recorded expense was $0.1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7. License Agreement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2023, the Company entered into the J&amp;J License Agreement, pursuant to which the Company granted J&amp;J an exclusive, worldwide license to develop, manufacture and commercialize PIPE-307 in all indications. The J&amp;J License Agreement allowed the Company to elect, at its sole discretion and cost, to conduct a Phase 2 trial of PIPE-307 for patients with multiple sclerosis which the Company completed during the year ended December 31, 2025. With the completion of this trial, J&amp;J may, at its sole discretion, further develop PIPE-307 for patients with multiple sclerosis. Additionally, upon J&amp;J deciding to conduct a first Phase 3 clinical trial for a product using PIPE-307, the J&amp;J License Agreement allows the Company the option to co-fund a portion of all Phase 3 and subsequent development costs for PIPE-307, with such costs capped annually. If the Company opts to fund such development costs, then the royalties the Company is eligible to receive will increase. Pursuant to the terms of the J&amp;J License Agreement, the Company received an upfront, non-refundable and non-creditable payment of $50.0 million upon transferring the license and know-how, existing inventory and manufacturing technology. The Company is also eligible to receive approximately $1.0 billion in non-refundable, non-creditable milestone payments. Additionally, the Company is eligible to receive tiered royalties in the low-double digit to high-teen percent range on net sales of products containing PIPE-307.</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the Company elected to conduct a Phase 2 trial using PIPE-307 for patients with multiple sclerosis, which was considered a contract modification under the accounting guidance that added promised goods or services that are distinct at a price that is below the standalone selling price. As of June 30, 2026, the Company had completed the Phase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 trial, and subsequently there were no remaining unsatisfied performance obligations from the J&amp;J License Agreement. All variable consideration remained fully constrained as of June 30, 2026.</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revenue recognized for the three and six months ended June 30, 2026 and 2025. The Company does not have any products approved for sale and have not yet generated any revenue from product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Lease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October 2023, the Company executed a noncancelable operating lease for new premises to be used for office, research and development and laboratory purposes (“General Atomics Court Lease”). The General Atomics Court Lease has a five-year term with an option to extend for another three-year period subject to certain conditions, which the Company is not reasonably certain to exercise and therefore was not considered in determining the right-of-use (“ROU”) assets and lease liabilities balance.</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August 2025, the Company signed an amendment to the General Atomics Court Lease for additional space (“General Atomics Court Lease Expansion”). The General Atomics Court Lease Expansion commenced for accounting purposes in October 2025. The General Atomics Court Lease Expansion expires in December 2027 with an option to extend through October 2029, which the Company is not reasonably certain to exercise and therefore was not considered in determining the ROU assets and lease liabilities balance. Upon commencement of the General Atomics Court Lease Expansion, the Company recorded an additional ROU asset and lease liability of approximately $1.4 million.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leased certain equipment used in connection with its on-going Phase 2 clinical trial of PIPE-791 for the treatment of IPF. The leases are accounted for as operating leases and have lease terms expiring in 2028. The Company recorded an ROU asset and lease liability of approximately $1.9 million.</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Below is a summary of the Company’s operating lease right-of-use assets and lease liabilities as of June 30, 2026 and December 31, 2025 (in thousands, except for years and %):</w:t>
      </w:r>
    </w:p>
    <w:tbl>
      <w:tblPr>
        <w:tblW w:w="8080" w:type="dxa"/>
        <w:jc w:val="left"/>
        <w:tblInd w:w="0" w:type="dxa"/>
        <w:tblLayout w:type="fixed"/>
        <w:tblCellMar>
          <w:top w:w="28" w:type="dxa"/>
          <w:left w:w="28" w:type="dxa"/>
          <w:bottom w:w="28" w:type="dxa"/>
          <w:right w:w="28" w:type="dxa"/>
        </w:tblCellMar>
      </w:tblPr>
      <w:tblGrid>
        <w:gridCol w:w="1706"/>
        <w:gridCol w:w="1498"/>
        <w:gridCol w:w="1506"/>
        <w:gridCol w:w="245"/>
        <w:gridCol w:w="715"/>
        <w:gridCol w:w="314"/>
        <w:gridCol w:w="109"/>
        <w:gridCol w:w="109"/>
        <w:gridCol w:w="109"/>
        <w:gridCol w:w="326"/>
        <w:gridCol w:w="954"/>
        <w:gridCol w:w="489"/>
      </w:tblGrid>
      <w:tr>
        <w:trPr/>
        <w:tc>
          <w:tcPr>
            <w:tcW w:w="170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3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48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obligations, current</w:t>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obligations, less current portion</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5,909 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 obligations</w:t>
            </w:r>
          </w:p>
        </w:tc>
        <w:tc>
          <w:tcPr>
            <w:tcW w:w="24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3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48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recognized $0.7 million and $0.4 million, respectively, in operating lease expenses, which are included in operating expenses in the Company’s statements of operations and comprehensive loss. During the six months ended June 30, 2026 and 2025, the Company recognized $1.2 million and $0.8 million, respectively, in operating lease expenses, which are included in operating expenses in the Company’s statements of operations and comprehensive loss.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are as follows (in thousands):</w:t>
      </w:r>
    </w:p>
    <w:tbl>
      <w:tblPr>
        <w:tblW w:w="8230" w:type="dxa"/>
        <w:jc w:val="left"/>
        <w:tblInd w:w="0" w:type="dxa"/>
        <w:tblLayout w:type="fixed"/>
        <w:tblCellMar>
          <w:top w:w="28" w:type="dxa"/>
          <w:left w:w="28" w:type="dxa"/>
          <w:bottom w:w="28" w:type="dxa"/>
          <w:right w:w="28" w:type="dxa"/>
        </w:tblCellMar>
      </w:tblPr>
      <w:tblGrid>
        <w:gridCol w:w="2105"/>
        <w:gridCol w:w="1845"/>
        <w:gridCol w:w="1855"/>
        <w:gridCol w:w="244"/>
        <w:gridCol w:w="715"/>
        <w:gridCol w:w="126"/>
        <w:gridCol w:w="126"/>
        <w:gridCol w:w="126"/>
        <w:gridCol w:w="126"/>
        <w:gridCol w:w="244"/>
        <w:gridCol w:w="540"/>
        <w:gridCol w:w="178"/>
      </w:tblGrid>
      <w:tr>
        <w:trPr/>
        <w:tc>
          <w:tcPr>
            <w:tcW w:w="21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2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for the Company’s operating lease liabilities as of June 30, 2026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tbl>
      <w:tblPr>
        <w:tblW w:w="5136" w:type="dxa"/>
        <w:jc w:val="left"/>
        <w:tblInd w:w="0" w:type="dxa"/>
        <w:tblLayout w:type="fixed"/>
        <w:tblCellMar>
          <w:top w:w="28" w:type="dxa"/>
          <w:left w:w="28" w:type="dxa"/>
          <w:bottom w:w="28" w:type="dxa"/>
          <w:right w:w="28" w:type="dxa"/>
        </w:tblCellMar>
      </w:tblPr>
      <w:tblGrid>
        <w:gridCol w:w="1502"/>
        <w:gridCol w:w="1320"/>
        <w:gridCol w:w="1333"/>
        <w:gridCol w:w="211"/>
        <w:gridCol w:w="61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7,431 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liability obligations</w:t>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various legal proceedings and claims that arise in the ordinary course of the Company’s business activities. As of June 30, 2026, the Company was not a party to any material legal proceedings.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Commitments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various manufacturing, clinical, research and other contracts with vendors in the conduct of the normal course of its business. Such contracts are generally terminable with advanced written notice and payment for any products or services received by the Company through the effective time of termination and any non-cancelable and non-refundable obligations incurred by the vendor at the effective time of the termination. In the case of terminating a clinical trial agreement at a particular site, the Company would also be obligated to provide continued support for appropriate medical procedures at that site until completion or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9. Net Loss Per Share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net loss is attributable equally to each share of Class A common stock and Class B common stock and is determined based on the weighted-average number of the respective class of common stock outstanding. Weighted-average common shares include shares of the Company’s Class A common stock and Class B common stock. The basic and diluted net loss per share amounts are the same for Class A common stock and Class B common stock.</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which include common stock options and a common stock warrant have been excluded from the computation of diluted net loss per share for the three and six months ended June 30, 2026 and 2025, as the effect would reduce the net loss per share. Therefore, the weighted-average number of shares of common stock outstanding used to calculate both basic and diluted net loss per share attributable to common stockholders is the same.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have been excluded from the diluted per share calculation for the periods presented as they would be anti-dilutive:</w:t>
      </w:r>
    </w:p>
    <w:tbl>
      <w:tblPr>
        <w:tblW w:w="5920" w:type="dxa"/>
        <w:jc w:val="left"/>
        <w:tblInd w:w="0" w:type="dxa"/>
        <w:tblLayout w:type="fixed"/>
        <w:tblCellMar>
          <w:top w:w="28" w:type="dxa"/>
          <w:left w:w="28" w:type="dxa"/>
          <w:bottom w:w="28" w:type="dxa"/>
          <w:right w:w="28" w:type="dxa"/>
        </w:tblCellMar>
      </w:tblPr>
      <w:tblGrid>
        <w:gridCol w:w="1085"/>
        <w:gridCol w:w="954"/>
        <w:gridCol w:w="961"/>
        <w:gridCol w:w="424"/>
        <w:gridCol w:w="424"/>
        <w:gridCol w:w="426"/>
        <w:gridCol w:w="109"/>
        <w:gridCol w:w="109"/>
        <w:gridCol w:w="109"/>
        <w:gridCol w:w="384"/>
        <w:gridCol w:w="384"/>
        <w:gridCol w:w="551"/>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w:t>
            </w:r>
          </w:p>
        </w:tc>
        <w:tc>
          <w:tcPr>
            <w:tcW w:w="127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7,656,913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5,580,612</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15,764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securities</w:t>
            </w:r>
          </w:p>
        </w:tc>
        <w:tc>
          <w:tcPr>
            <w:tcW w:w="127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7,672,677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5,596,376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pioneering differentiated small molecule therapies inflammatory and fibrotic diseases with significant unmet need.</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its President and Chief Executive Officer, Carmine Stengone. The CODM makes decisions on resource allocation, assesses performance of the business, and monitors budget versus actual results of the Company as a whole using operating expenses, as reported on the Company’s statements of operations and comprehensive loss. Net loss is also a measure that is considered in monitoring budget versus actual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CODM does not review assets in evaluating the results of the Company, and therefore, such information is not presented.</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segment expenses within net loss include research and development related to PIPE-791, PIPE-307, CTX-343, discovery programs and unallocated internal costs, general and administrative and interest income.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operating financial results of the Company’s single reportable segment (in thousands):</w:t>
      </w:r>
    </w:p>
    <w:tbl>
      <w:tblPr>
        <w:tblW w:w="8069" w:type="dxa"/>
        <w:jc w:val="left"/>
        <w:tblInd w:w="0" w:type="dxa"/>
        <w:tblLayout w:type="fixed"/>
        <w:tblCellMar>
          <w:top w:w="28" w:type="dxa"/>
          <w:left w:w="28" w:type="dxa"/>
          <w:bottom w:w="28" w:type="dxa"/>
          <w:right w:w="28" w:type="dxa"/>
        </w:tblCellMar>
      </w:tblPr>
      <w:tblGrid>
        <w:gridCol w:w="913"/>
        <w:gridCol w:w="802"/>
        <w:gridCol w:w="804"/>
        <w:gridCol w:w="216"/>
        <w:gridCol w:w="816"/>
        <w:gridCol w:w="111"/>
        <w:gridCol w:w="111"/>
        <w:gridCol w:w="111"/>
        <w:gridCol w:w="111"/>
        <w:gridCol w:w="216"/>
        <w:gridCol w:w="816"/>
        <w:gridCol w:w="111"/>
        <w:gridCol w:w="109"/>
        <w:gridCol w:w="109"/>
        <w:gridCol w:w="109"/>
        <w:gridCol w:w="211"/>
        <w:gridCol w:w="796"/>
        <w:gridCol w:w="109"/>
        <w:gridCol w:w="109"/>
        <w:gridCol w:w="109"/>
        <w:gridCol w:w="109"/>
        <w:gridCol w:w="211"/>
        <w:gridCol w:w="79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1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PIPE-791</w:t>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PIPE-307</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CTX-343</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Discovery programs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Unallocated internal costs</w:t>
            </w:r>
            <w:r>
              <w:rPr>
                <w:rFonts w:ascii="Times New Roman;serif" w:hAnsi="Times New Roman;serif"/>
                <w:b w:val="false"/>
                <w:color w:val="000000"/>
                <w:sz w:val="13"/>
              </w:rPr>
              <w:t>(1)</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(15,154)</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(16,040)</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(1)Unallocated internal research and development costs include employee-related expenses that cannot be directly attributable to a specific research project, stock-based compensation for employees engaged in research and development functions, facilities, depreciation and other related expenses.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(2)Other segment items include other expense, net which primarily consists of non-operating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200"/>
        <w:jc w:val="left"/>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lineRule="auto" w:line="276" w:before="0" w:after="200"/>
        <w:ind w:left="0" w:right="0" w:firstLine="540"/>
        <w:jc w:val="left"/>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financial statements and related notes included in this Quarterly Report on Form 10-Q and our audited financial statements and related notes thereto as of and for the year ended December 31, 2025</w:t>
      </w:r>
      <w:r>
        <w:rPr>
          <w:color w:val="000000"/>
        </w:rPr>
        <w:t xml:space="preserve"> </w:t>
      </w:r>
      <w:r>
        <w:rPr>
          <w:rFonts w:ascii="Times New Roman;serif" w:hAnsi="Times New Roman;serif"/>
          <w:b w:val="false"/>
          <w:i/>
          <w:color w:val="000000"/>
          <w:sz w:val="20"/>
        </w:rPr>
        <w:t>and the related Management</w:t>
      </w:r>
      <w:r>
        <w:rPr>
          <w:color w:val="000000"/>
        </w:rPr>
        <w:t>’</w:t>
      </w:r>
      <w:r>
        <w:rPr>
          <w:rFonts w:ascii="Times New Roman;serif" w:hAnsi="Times New Roman;serif"/>
          <w:b w:val="false"/>
          <w:i/>
          <w:color w:val="000000"/>
          <w:sz w:val="20"/>
        </w:rPr>
        <w:t xml:space="preserve">s Discussion and Analysis of Financial Condition and Results of Operations, both of which are included in our Annual Report on Form 10-K for the year ended December 31, 2025, filed with the SEC on March 5, 2026. </w:t>
      </w:r>
    </w:p>
    <w:p>
      <w:pPr>
        <w:pStyle w:val="TextBody"/>
        <w:bidi w:val="0"/>
        <w:spacing w:lineRule="auto" w:line="276" w:before="0" w:after="200"/>
        <w:ind w:left="0" w:right="0" w:firstLine="540"/>
        <w:jc w:val="left"/>
        <w:rPr/>
      </w:pPr>
      <w:r>
        <w:rPr>
          <w:rFonts w:ascii="Times New Roman;serif" w:hAnsi="Times New Roman;serif"/>
          <w:b w:val="false"/>
          <w:i/>
          <w:color w:val="000000"/>
          <w:sz w:val="20"/>
        </w:rPr>
        <w:t>This Quarterly Report on Form</w:t>
      </w:r>
      <w:r>
        <w:rPr>
          <w:color w:val="000000"/>
        </w:rPr>
        <w:t xml:space="preserve"> </w:t>
      </w:r>
      <w:r>
        <w:rPr>
          <w:rFonts w:ascii="Times New Roman;serif" w:hAnsi="Times New Roman;serif"/>
          <w:b w:val="false"/>
          <w:i/>
          <w:color w:val="000000"/>
          <w:sz w:val="20"/>
        </w:rPr>
        <w:t xml:space="preserve">10-Q may contain </w:t>
      </w:r>
      <w:r>
        <w:rPr>
          <w:color w:val="000000"/>
        </w:rPr>
        <w:t>“</w:t>
      </w:r>
      <w:r>
        <w:rPr>
          <w:rFonts w:ascii="Times New Roman;serif" w:hAnsi="Times New Roman;serif"/>
          <w:b w:val="false"/>
          <w:i/>
          <w:color w:val="000000"/>
          <w:sz w:val="20"/>
        </w:rPr>
        <w:t>forward-looking statements</w:t>
      </w:r>
      <w:r>
        <w:rPr>
          <w:color w:val="000000"/>
        </w:rPr>
        <w:t xml:space="preserve">” </w:t>
      </w:r>
      <w:r>
        <w:rPr>
          <w:rFonts w:ascii="Times New Roman;serif" w:hAnsi="Times New Roman;serif"/>
          <w:b w:val="false"/>
          <w:i/>
          <w:color w:val="000000"/>
          <w:sz w:val="20"/>
        </w:rPr>
        <w:t>within the meaning of Section</w:t>
      </w:r>
      <w:r>
        <w:rPr>
          <w:color w:val="000000"/>
        </w:rPr>
        <w:t xml:space="preserve"> </w:t>
      </w:r>
      <w:r>
        <w:rPr>
          <w:rFonts w:ascii="Times New Roman;serif" w:hAnsi="Times New Roman;serif"/>
          <w:b w:val="false"/>
          <w:i/>
          <w:color w:val="000000"/>
          <w:sz w:val="20"/>
        </w:rPr>
        <w:t>27A of the Securities Act of 1933, as amended, and Section</w:t>
      </w:r>
      <w:r>
        <w:rPr>
          <w:color w:val="000000"/>
        </w:rPr>
        <w:t xml:space="preserve"> </w:t>
      </w:r>
      <w:r>
        <w:rPr>
          <w:rFonts w:ascii="Times New Roman;serif" w:hAnsi="Times New Roman;serif"/>
          <w:b w:val="false"/>
          <w:i/>
          <w:color w:val="000000"/>
          <w:sz w:val="20"/>
        </w:rPr>
        <w:t xml:space="preserve">21E of the Securities Exchange Act of 1934, as amended (the </w:t>
      </w:r>
      <w:r>
        <w:rPr>
          <w:color w:val="000000"/>
        </w:rPr>
        <w:t>“</w:t>
      </w:r>
      <w:r>
        <w:rPr>
          <w:rFonts w:ascii="Times New Roman;serif" w:hAnsi="Times New Roman;serif"/>
          <w:b w:val="false"/>
          <w:i/>
          <w:color w:val="000000"/>
          <w:sz w:val="20"/>
        </w:rPr>
        <w:t>Exchange Act</w:t>
      </w:r>
      <w:r>
        <w:rPr>
          <w:color w:val="000000"/>
        </w:rPr>
        <w:t>”</w:t>
      </w:r>
      <w:r>
        <w:rPr>
          <w:rFonts w:ascii="Times New Roman;serif" w:hAnsi="Times New Roman;serif"/>
          <w:b w:val="false"/>
          <w:i/>
          <w:color w:val="000000"/>
          <w:sz w:val="20"/>
        </w:rPr>
        <w:t xml:space="preserve">). Such forward-looking statements, which represent our intent, belief, or current expectations, involve risks and uncertainties. We use words such as </w:t>
      </w:r>
      <w:r>
        <w:rPr>
          <w:color w:val="000000"/>
        </w:rPr>
        <w:t>“</w:t>
      </w:r>
      <w:r>
        <w:rPr>
          <w:rFonts w:ascii="Times New Roman;serif" w:hAnsi="Times New Roman;serif"/>
          <w:b w:val="false"/>
          <w:i/>
          <w:color w:val="000000"/>
          <w:sz w:val="20"/>
        </w:rPr>
        <w:t>may,</w:t>
      </w:r>
      <w:r>
        <w:rPr>
          <w:color w:val="000000"/>
        </w:rPr>
        <w:t>” “</w:t>
      </w:r>
      <w:r>
        <w:rPr>
          <w:rFonts w:ascii="Times New Roman;serif" w:hAnsi="Times New Roman;serif"/>
          <w:b w:val="false"/>
          <w:i/>
          <w:color w:val="000000"/>
          <w:sz w:val="20"/>
        </w:rPr>
        <w:t>will,</w:t>
      </w:r>
      <w:r>
        <w:rPr>
          <w:color w:val="000000"/>
        </w:rPr>
        <w:t>” “</w:t>
      </w:r>
      <w:r>
        <w:rPr>
          <w:rFonts w:ascii="Times New Roman;serif" w:hAnsi="Times New Roman;serif"/>
          <w:b w:val="false"/>
          <w:i/>
          <w:color w:val="000000"/>
          <w:sz w:val="20"/>
        </w:rPr>
        <w:t>expect,</w:t>
      </w:r>
      <w:r>
        <w:rPr>
          <w:color w:val="000000"/>
        </w:rPr>
        <w:t>” “</w:t>
      </w:r>
      <w:r>
        <w:rPr>
          <w:rFonts w:ascii="Times New Roman;serif" w:hAnsi="Times New Roman;serif"/>
          <w:b w:val="false"/>
          <w:i/>
          <w:color w:val="000000"/>
          <w:sz w:val="20"/>
        </w:rPr>
        <w:t>anticipate,</w:t>
      </w:r>
      <w:r>
        <w:rPr>
          <w:color w:val="000000"/>
        </w:rPr>
        <w:t>” “</w:t>
      </w:r>
      <w:r>
        <w:rPr>
          <w:rFonts w:ascii="Times New Roman;serif" w:hAnsi="Times New Roman;serif"/>
          <w:b w:val="false"/>
          <w:i/>
          <w:color w:val="000000"/>
          <w:sz w:val="20"/>
        </w:rPr>
        <w:t>estimate,</w:t>
      </w:r>
      <w:r>
        <w:rPr>
          <w:color w:val="000000"/>
        </w:rPr>
        <w:t>” “</w:t>
      </w:r>
      <w:r>
        <w:rPr>
          <w:rFonts w:ascii="Times New Roman;serif" w:hAnsi="Times New Roman;serif"/>
          <w:b w:val="false"/>
          <w:i/>
          <w:color w:val="000000"/>
          <w:sz w:val="20"/>
        </w:rPr>
        <w:t>intend,</w:t>
      </w:r>
      <w:r>
        <w:rPr>
          <w:color w:val="000000"/>
        </w:rPr>
        <w:t>” “</w:t>
      </w:r>
      <w:r>
        <w:rPr>
          <w:rFonts w:ascii="Times New Roman;serif" w:hAnsi="Times New Roman;serif"/>
          <w:b w:val="false"/>
          <w:i/>
          <w:color w:val="000000"/>
          <w:sz w:val="20"/>
        </w:rPr>
        <w:t>plan,</w:t>
      </w:r>
      <w:r>
        <w:rPr>
          <w:color w:val="000000"/>
        </w:rPr>
        <w:t>” “</w:t>
      </w:r>
      <w:r>
        <w:rPr>
          <w:rFonts w:ascii="Times New Roman;serif" w:hAnsi="Times New Roman;serif"/>
          <w:b w:val="false"/>
          <w:i/>
          <w:color w:val="000000"/>
          <w:sz w:val="20"/>
        </w:rPr>
        <w:t>predict,</w:t>
      </w:r>
      <w:r>
        <w:rPr>
          <w:color w:val="000000"/>
        </w:rPr>
        <w:t>” “</w:t>
      </w:r>
      <w:r>
        <w:rPr>
          <w:rFonts w:ascii="Times New Roman;serif" w:hAnsi="Times New Roman;serif"/>
          <w:b w:val="false"/>
          <w:i/>
          <w:color w:val="000000"/>
          <w:sz w:val="20"/>
        </w:rPr>
        <w:t>potential,</w:t>
      </w:r>
      <w:r>
        <w:rPr>
          <w:color w:val="000000"/>
        </w:rPr>
        <w:t>” “</w:t>
      </w:r>
      <w:r>
        <w:rPr>
          <w:rFonts w:ascii="Times New Roman;serif" w:hAnsi="Times New Roman;serif"/>
          <w:b w:val="false"/>
          <w:i/>
          <w:color w:val="000000"/>
          <w:sz w:val="20"/>
        </w:rPr>
        <w:t>believe,</w:t>
      </w:r>
      <w:r>
        <w:rPr>
          <w:color w:val="000000"/>
        </w:rPr>
        <w:t>” “</w:t>
      </w:r>
      <w:r>
        <w:rPr>
          <w:rFonts w:ascii="Times New Roman;serif" w:hAnsi="Times New Roman;serif"/>
          <w:b w:val="false"/>
          <w:i/>
          <w:color w:val="000000"/>
          <w:sz w:val="20"/>
        </w:rPr>
        <w:t>should</w:t>
      </w:r>
      <w:r>
        <w:rPr>
          <w:color w:val="000000"/>
        </w:rPr>
        <w:t xml:space="preserve">” </w:t>
      </w:r>
      <w:r>
        <w:rPr>
          <w:rFonts w:ascii="Times New Roman;serif" w:hAnsi="Times New Roman;serif"/>
          <w:b w:val="false"/>
          <w:i/>
          <w:color w:val="000000"/>
          <w:sz w:val="20"/>
        </w:rPr>
        <w:t>and similar expressions to identify forward-looking statements, although not all forward-looking statements contain these identifying words. Such statements may include, but are not limited to, statements concerning projections about our accounting and finances, our clinical trial and product development plans and timelines, the indications, anticipated benefits of, and market opportunities for our drug candidates, our operating runway, our business strategies and plans, and other statements regarding future performance.</w:t>
      </w:r>
      <w:r>
        <w:rPr>
          <w:color w:val="000000"/>
        </w:rPr>
        <w:t xml:space="preserve"> </w:t>
      </w:r>
      <w:r>
        <w:rPr>
          <w:rFonts w:ascii="Times New Roman;serif" w:hAnsi="Times New Roman;serif"/>
          <w:b w:val="false"/>
          <w:i/>
          <w:color w:val="000000"/>
          <w:sz w:val="20"/>
        </w:rPr>
        <w:t>Although we believe the expectations reflected in these forward-looking statements are reasonable, such statements are inherently subject to risk and we can give no assurances that our expectations will prove to be correct. You should not place undue reliance on these forward-looking statements, which apply only as of the date of this Quarterly Report on Form</w:t>
      </w:r>
      <w:r>
        <w:rPr>
          <w:color w:val="000000"/>
        </w:rPr>
        <w:t xml:space="preserve"> </w:t>
      </w:r>
      <w:r>
        <w:rPr>
          <w:rFonts w:ascii="Times New Roman;serif" w:hAnsi="Times New Roman;serif"/>
          <w:b w:val="false"/>
          <w:i/>
          <w:color w:val="000000"/>
          <w:sz w:val="20"/>
        </w:rPr>
        <w:t xml:space="preserve">10-Q. As a result of many factors, including without limitation those set forth under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under Item</w:t>
      </w:r>
      <w:r>
        <w:rPr>
          <w:color w:val="000000"/>
        </w:rPr>
        <w:t xml:space="preserve"> </w:t>
      </w:r>
      <w:r>
        <w:rPr>
          <w:rFonts w:ascii="Times New Roman;serif" w:hAnsi="Times New Roman;serif"/>
          <w:b w:val="false"/>
          <w:i/>
          <w:color w:val="000000"/>
          <w:sz w:val="20"/>
        </w:rPr>
        <w:t>1A of Part</w:t>
      </w:r>
      <w:r>
        <w:rPr>
          <w:color w:val="000000"/>
        </w:rPr>
        <w:t xml:space="preserve"> </w:t>
      </w:r>
      <w:r>
        <w:rPr>
          <w:rFonts w:ascii="Times New Roman;serif" w:hAnsi="Times New Roman;serif"/>
          <w:b w:val="false"/>
          <w:i/>
          <w:color w:val="000000"/>
          <w:sz w:val="20"/>
        </w:rPr>
        <w:t>II below, and elsewhere in this Quarterly Report on Form</w:t>
      </w:r>
      <w:r>
        <w:rPr>
          <w:color w:val="000000"/>
        </w:rPr>
        <w:t xml:space="preserve"> </w:t>
      </w:r>
      <w:r>
        <w:rPr>
          <w:rFonts w:ascii="Times New Roman;serif" w:hAnsi="Times New Roman;serif"/>
          <w:b w:val="false"/>
          <w:i/>
          <w:color w:val="000000"/>
          <w:sz w:val="20"/>
        </w:rPr>
        <w:t>10-Q, our actual results may differ materially from those anticipated in these forward-looking statements. Except as required by law, we undertake no obligation to update these forward-looking statements to reflect events or circumstances after the date of this report or to reflect actual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clinical-stage biopharmaceutical company pioneering structurally differentiated small molecule therapies for inflammatory and fibrotic diseases with significant unmet need. We target biological pathways associated with specific clinical impairments that we believe, once modulated, will demonstrably alter the course of disease.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focus on developing selective compounds targeting challenging molecular pathways and have built a portfolio of small molecule drug candidates. We believe our two clinical stage, internally-discovered drug candidates, PIPE-791 and PIPE-307, will have broad applicability across multiple indications. We are developing PIPE-307 in collaboration with J&amp;J.</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wholly-owned lead asset, PIPE-791, is a novel, brain penetrant, small molecule inhibitor of the lysophosphatidic acid receptor 1 (“LPAR1”) in development for idiopathic pulmonary fibrosis (“IPF”) and chronic pain. LPAR1 antagonism is a clinically validated mechanism in IPF, and we believe that our preclinical studies, Phase 1 healthy volunteer data, and Phase 1 positron emission tomography (“PET”) data support the development of PIPE-791 for IPF, chronic pain and other fibrotic diseases. Specifically, based on its high bioavailability, high selectivity, low plasma protein binding, and long receptor residence time, we believe PIPE-791 has the potential to be a differentiated LPAR1 therapy with broad therapeutic potential (portfolio in a pill). In September 2025, we reported positive top-line data from our completed Phase 1b PET trial, which measured the relationship of pharmacokinetics to receptor occupancy (“RO”) by PET imaging. The data from the Phase 1b PET trial further affirmed the planned dose selection for our Phase 2 trial of PIPE-791 in IPF. The Company initiated patient dosing in PROPEL-IPF, a global Phase 2 clinical trial evaluating PIPE-791 for the treatment of patients with IPF, in the first quarter of 2026. PROPEL-IPF is a 26-week, randomized, double-blind, placebo-controlled clinical trial evaluating the efficacy, safety, tolerability and pharmacokinetics of once-daily, oral PIPE-791 in approximately 324 IPF patients. The primary efficacy endpoint is the change from baseline through week 26 in absolute forced vital capacity (FVC mL). To date, the Company has activated more than 50 clinical trial sites. In the fourth quarter of 2025, we completed enrollment for a Phase 1b, randomized, double-blind, placebo-controlled, crossover study which was designed to explore the safety and efficacy of oral PIPE-791 in subjects with chronic osteoarthritic pain or chronic low back pain. We announced positive topline data from this trial in April 2026. The Phase 1b trial achieved its primary endpoint demonstrating favorable safety and tolerability with no clinically-relevant orthostatic events. We also observed encouraging trends across multiple exploratory efficacy endpoints including improvements in measures of pain, and other functional patient-reported outcomes. We believe these results support further evaluation of PIPE-791 in chronic pain.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partnered novel drug candidate, PIPE-307, is a selective, small-molecule inhibitor of the muscarinic type 1 receptor (“M1R”), in development for depression. We have completed two Phase 1 trials of PIPE-307 in healthy volunteers. J&amp;J completed enrollment of 107 adult participants for its Phase 2 Moonlight-1 trial of PIPE-307, renamed by J&amp;J to JNJ-89495120, in June 2026. This trial is a randomized, double-blind, multicenter, placebo-controlled, proof-of-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concept study to evaluate the efficacy, safety, and tolerability of PIPE-307/JNJ-89495120 as a monotherapy in adult participants with major depressive disorder (“MDD”). </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portfolio of novel and proprietary small molecule programs that we believe can modulate innate pathways to restore function in inflammatory and fibrotic diseases. We retain worldwide rights to our LPAR1 programs and discovery portfolio, and we have partnered with J&amp;J for the development and potential commercialization efforts of PIPE-307. </w:t>
      </w:r>
    </w:p>
    <w:p>
      <w:pPr>
        <w:pStyle w:val="TextBody"/>
        <w:bidi w:val="0"/>
        <w:spacing w:before="0" w:after="0"/>
        <w:jc w:val="center"/>
        <w:rPr/>
      </w:pPr>
      <w:r>
        <w:rPr/>
        <w:drawing>
          <wp:inline distT="0" distB="0" distL="0" distR="0">
            <wp:extent cx="6286500" cy="2238375"/>
            <wp:effectExtent l="0" t="0" r="0" b="0"/>
            <wp:docPr id="2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 descr=""/>
                    <pic:cNvPicPr>
                      <a:picLocks noChangeAspect="1" noChangeArrowheads="1"/>
                    </pic:cNvPicPr>
                  </pic:nvPicPr>
                  <pic:blipFill>
                    <a:blip r:embed="rId2"/>
                    <a:stretch>
                      <a:fillRect/>
                    </a:stretch>
                  </pic:blipFill>
                  <pic:spPr bwMode="auto">
                    <a:xfrm>
                      <a:off x="0" y="0"/>
                      <a:ext cx="6286500" cy="223837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6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(1)We made a strategic decision to defer further clinical development for our CTX-343 program until funding is obtained to specifically move this program forward.</w:t>
      </w:r>
    </w:p>
    <w:p>
      <w:pPr>
        <w:pStyle w:val="TextBody"/>
        <w:bidi w:val="0"/>
        <w:spacing w:before="0" w:after="0"/>
        <w:jc w:val="left"/>
        <w:rPr/>
      </w:pPr>
      <w:r>
        <w:rPr/>
      </w:r>
    </w:p>
    <w:p>
      <w:pPr>
        <w:pStyle w:val="TextBody"/>
        <w:bidi w:val="0"/>
        <w:spacing w:lineRule="auto" w:line="26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(2)J&amp;J has sole discretion whether or not to further develop PIPE-307 for MDD or any other indication.</w:t>
      </w:r>
    </w:p>
    <w:p>
      <w:pPr>
        <w:pStyle w:val="TextBody"/>
        <w:bidi w:val="0"/>
        <w:spacing w:before="0" w:after="0"/>
        <w:jc w:val="left"/>
        <w:rPr/>
      </w:pPr>
      <w:r>
        <w:rPr/>
      </w:r>
    </w:p>
    <w:p>
      <w:pPr>
        <w:pStyle w:val="TextBody"/>
        <w:bidi w:val="0"/>
        <w:spacing w:lineRule="auto" w:line="268" w:before="0" w:after="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We are also actively conducting preclinical and discovery-phase experiments targeting various indications where our internally-discovered molecules may have therapeutic potential.</w:t>
      </w:r>
    </w:p>
    <w:p>
      <w:pPr>
        <w:pStyle w:val="TextBody"/>
        <w:bidi w:val="0"/>
        <w:spacing w:before="0" w:after="0"/>
        <w:ind w:left="0" w:right="0" w:firstLine="63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operating expenses to significantly increase as we continue to develop, conduct clinical trials, and seek regulatory approvals for our drug candidates, engage in other research and development activities to expand the indications for our existing drug candidates and develop a pipeline of additional drug candidates, expand our operations and headcount, maintain and expand our intellectual property portfolio, and, if we obtain approval for one or more of our drug candidates, launch commercial activities. We also expect to incur additional operating expenses as we continue operating as a public company. Our net losses may fluctuate significantly from quarter-to-quarter and year-to-year, depending on the timing and scope of our clinical trials and our expenditures on other research and development activities.</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continue to pursue our business plan, we expect to finance our operations through both public and private sales of equity, debt financings or other commercial arrangements, which could include income from collaborations, strategic partnerships or marketing, distribution, licensing or other strategic arrangements with third parties. However, there can be no assurance that any additional financing or strategic transactions will be available to us on acceptable terms, if at all. If events or circumstances occur such that we do not obtain additional funding, we may need to delay, reduce or eliminate our product development or future commercialization efforts, which could have a material adverse effect on our business, results of operations or financial condition. Further, if we raise funds through licensing or other commercial arrangements with third parties, we may be required to relinquish valuable rights to our technology, future revenue streams, research programs or drug candidates or may be required to grant licenses on terms that may not be favorable to us and/or may reduce the value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Collaboration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2023, we entered into a license agreement with J&amp;J (the “J&amp;J License Agreement”), pursuant to which we granted J&amp;J an exclusive, worldwide license to develop, manufacture and commercialize PIPE-307 in all indications.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J&amp;J is generally responsible for all development, manufacturing and commercialization activities for PIPE-307. Upon J&amp;J conducting a first Phase 3 clinical trial for a product using PIPE-307, we have an opt-in right to fund a portion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all Phase 3 and subsequent development costs for PIPE-307. If we opt to fund such development costs, then the royalties we are eligible to receive will increase by one to two percentage points.</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J&amp;J completed enrollment of 107 adult participants for its Phase 2 Moonlight-1 trial of PIPE-307, renamed by J&amp;J to JNJ-89495120, in June 2026. This trial is a randomized, double-blind, multicenter, placebo-controlled, proof-of-concept study to evaluate the efficacy, safety, and tolerability of PIPE-307/JNJ-89495120 as a monotherapy in adult participants with MDD.</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J&amp;J License Agreement expires on a licensed product-by-product and country-by-country basis upon the last to occur of: (i) the expiration of the last-to-expire licensed patent claim covering the composition of matter of the licensed compound in such licensed product in such country; (ii) the expiration of exclusive marketing rights conferred by a regulatory authority or applicable law (other than patent exclusivity) for such licensed product in such country; or (iii) ten years after the first commercial sale of such licensed product in such country. Either party may terminate the J&amp;J License Agreement in the event of an uncured material breach by the other party or a bankruptcy or insolvency of the other party. J&amp;J may terminate the J&amp;J License Agreement without cause upon prior written notice to us. Upon any termination, all license rights granted to J&amp;J terminate.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Financial Operations Overview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 license revenues as identified performance obligations are satisfied or other events occur, specifically related to our J&amp;J License Agreement. Pursuant to the terms of the J&amp;J License Agreement, we received an upfront payment of $50.0 million in May 2023. We are also eligible to receive approximately $1.0 billion in non-refundable, non-creditable milestone payments, pursuant to the terms of the J&amp;J License Agreement. Additionally, we are eligible to receive tiered royalties in the low-double digit to high-teen percent range on net sales of products containing PIPE-307. We determined that the initial transaction price under the J&amp;J License Agreement equals $50.0 million, consisting solely of the upfront, non-refundable payment of $50.0 million received during the year ended December 31, 2023. There was no revenue recognized for the three and six months ended June 30, 2026 and 2025. We do not have any products approved for sale and we have not yet generated any revenue from product sales.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internal research and development activities.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Direct costs include: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employee-related expenses, including salaries, related benefits, and travel that can be directly attributable to each research project;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expenses incurred in connection with research, laboratory consumables and preclinical studies;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expenses incurred in connection with conducting clinical trials, including investigator grants and site payments for time and pass-through expenses and expenses incurred under agreements with contract research organizations (“CROs”), other vendors or central laboratories and service providers engaged to conduct our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 of consultants engaged in research and development related services;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 to manufacture drug products for use in our preclinical studies and clinical trials;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costs related to regulatory compliance.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Unallocated internal research and development costs include: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employee-related expenses, including salaries, related benefits, and travel that cannot be directly attributable to a specific research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stock-based compensation for employees engaged in research and development functions;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facilities, depreciation and other related expenses.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expense our research and development costs as they are incurred. We record advance payments for goods or services to be received in the future for use in research and development as prepaid expenses. We then expense the prepaid amounts as the related goods are delivered or the services are performed.</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track outsourced development costs, consultant costs and other external research and development costs such as third-party contract costs relating to manufacturing, clinical trial activities, translational medicine and toxicology activities to specific programs. We allocate employee related costs including salaries and related benefits based upon the level of effort for each specific project.</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employee activities that cannot be allocated to any one specific project or management related activities are considered indirect costs. The following tables summarize our research and development expenses for the three and six months ended June 30, 2026 and 2025. The direct external development program expenses reflect external costs attributable to our clinical development and preclinical programs and personnel costs that can be directly attributed to a development program. The unallocated internal research and development costs include unallocated personnel costs, facility costs, stock-based compensation, laboratory consumables and discovery and research related activities.</w:t>
      </w:r>
    </w:p>
    <w:tbl>
      <w:tblPr>
        <w:tblW w:w="9795" w:type="dxa"/>
        <w:jc w:val="left"/>
        <w:tblInd w:w="0" w:type="dxa"/>
        <w:tblLayout w:type="fixed"/>
        <w:tblCellMar>
          <w:top w:w="28" w:type="dxa"/>
          <w:left w:w="28" w:type="dxa"/>
          <w:bottom w:w="28" w:type="dxa"/>
          <w:right w:w="28" w:type="dxa"/>
        </w:tblCellMar>
      </w:tblPr>
      <w:tblGrid>
        <w:gridCol w:w="1594"/>
        <w:gridCol w:w="1396"/>
        <w:gridCol w:w="140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Direct external development program expense</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PIPE-791</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PIPE-307</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CTX-343</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Discovery programs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internal research and development costs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costs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costs</w:t>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There are numerous factors associated with the successful commercialization of any of our drug candidates, including future clinical trial design and various regulatory requirements, many of which we cannot determine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and our costs may increase if we exercise our opt-in right to fund a portion of all Phase 3 and subsequent development costs for PIPE-307 pursuant to the J&amp;J License Agreement. However, we expect that our research and development expenses will increase substantially in connection with our planned preclinical and clinical development activities in the near term and for the foreseeable future.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drug candidates is highly uncertain. This is due to numerous risks and uncertainties, including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successful completion of preclinical studies and clinical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delays in regulators or institutional review boards authorizing us or our investigators to commence or continue our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negotiate agreements with clinical trial sites or CROs;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number of clinical sites included in our clinical trials;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raising additional funds necessary to complete clinical development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obtaining and maintaining patent, trade secret and other intellectual property protection and regulatory exclusivity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establishing and qualifying manufacturing capabilities for clinical supplies of our drug candidates, whether directly or through qualified third party manufacturers;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receive necessary regulatory approvals from the U.S. Food and Drug Administration and comparable governmental bodies outside the United States;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our decision to elect to fund a portion of Phase 3 and subsequent development costs for PIPE-307;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coverage for our products by governmental and third party payors;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protecting and enforcing our rights in our intellectual property portfolio;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successfully compete with our competitors and their product offerings;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maintaining a continued acceptable safety profile of the products following approval.</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our drug candidates may significantly impact the costs and timing associated with the development of our drug candidates. We may never succeed in obtaining regulatory approval for any of our drug candidates or successfully commercialize our products, even if approved.</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salaries and employee-related costs, including stock-based compensation, for personnel in executive, finance and other administrative functions. Other significant costs include legal fees relating to intellectual property, patent applications, and corporate matters, professional fees for accounting and consulting services and facility-related costs.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will increase for the foreseeable future to support our increased research and development activities, the growth of our business operations and headcount and to reflect increased operating expenses as we continue operating as a public company. These increased costs will likely include increased expenses related to audit, legal, regulatory services associated with maintaining compliance with exchange listing and SEC requirements, director and officer insurance premiums and investor relations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Income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cash equivalents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tbl>
      <w:tblPr>
        <w:tblW w:w="6311" w:type="dxa"/>
        <w:jc w:val="left"/>
        <w:tblInd w:w="0" w:type="dxa"/>
        <w:tblLayout w:type="fixed"/>
        <w:tblCellMar>
          <w:top w:w="28" w:type="dxa"/>
          <w:left w:w="28" w:type="dxa"/>
          <w:bottom w:w="28" w:type="dxa"/>
          <w:right w:w="28" w:type="dxa"/>
        </w:tblCellMar>
      </w:tblPr>
      <w:tblGrid>
        <w:gridCol w:w="836"/>
        <w:gridCol w:w="735"/>
        <w:gridCol w:w="738"/>
        <w:gridCol w:w="216"/>
        <w:gridCol w:w="816"/>
        <w:gridCol w:w="111"/>
        <w:gridCol w:w="111"/>
        <w:gridCol w:w="111"/>
        <w:gridCol w:w="111"/>
        <w:gridCol w:w="216"/>
        <w:gridCol w:w="816"/>
        <w:gridCol w:w="111"/>
        <w:gridCol w:w="109"/>
        <w:gridCol w:w="109"/>
        <w:gridCol w:w="109"/>
        <w:gridCol w:w="211"/>
        <w:gridCol w:w="69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17,428 </w:t>
            </w:r>
          </w:p>
        </w:tc>
        <w:tc>
          <w:tcPr>
            <w:tcW w:w="1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(17,428)</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(17,902)</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(15,154)</w:t>
            </w:r>
          </w:p>
        </w:tc>
        <w:tc>
          <w:tcPr>
            <w:tcW w:w="1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(16,040)</w:t>
            </w:r>
          </w:p>
        </w:tc>
        <w:tc>
          <w:tcPr>
            <w:tcW w:w="1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pPr>
      <w:r>
        <w:rPr>
          <w:rFonts w:ascii="Times New Roman;serif" w:hAnsi="Times New Roman;serif"/>
          <w:b/>
          <w:i/>
          <w:color w:val="000000"/>
          <w:sz w:val="20"/>
        </w:rPr>
        <w:t>Research and development expenses</w:t>
      </w:r>
      <w:r>
        <w:rPr>
          <w:rFonts w:ascii="Times New Roman;serif" w:hAnsi="Times New Roman;serif"/>
          <w:b w:val="false"/>
          <w:color w:val="000000"/>
          <w:sz w:val="20"/>
        </w:rPr>
        <w:t>. Research and development expenses were $12.7 million and $14.1 million for the three months ended June 30, 2026 and 2025, respectively. The decrease of $1.4 million from period to period was due to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$2.0 million decrease in contract research organization costs due to a $2.1 million decrease in costs related to the completed VISTA Phase 2 clinical trial for PIPE-307 for the treatment of relapse-remitting multiple sclerosis (“RRMS”), a $0.9 million decrease in costs related to the Phase 1b trial for PIPE-791 for the treatment of chronic pain, and a $0.4 million decrease in costs related to the completed Phase 1b PET trial for PIPE-791 partially offset by a $1.4 million increase in costs related to the Phase 2 trial for PIPE-791 for the treatment of IPF,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$0.8 million decrease in expenses for toxicology studies primarily for PIPE-791 and CTX-343.</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Partially offsetting these decreases was a $0.7 million increase in noncash stock-based compensation, $0.4 million increase in personnel-related expense related to an overall increase in personnel from period to period, $0.2 million increase in facilities costs, and $0.2 million increase in equipment costs. </w:t>
      </w:r>
    </w:p>
    <w:p>
      <w:pPr>
        <w:pStyle w:val="TextBody"/>
        <w:bidi w:val="0"/>
        <w:spacing w:lineRule="auto" w:line="288" w:before="0" w:after="200"/>
        <w:ind w:left="0" w:right="0" w:firstLine="540"/>
        <w:jc w:val="left"/>
        <w:rPr/>
      </w:pPr>
      <w:r>
        <w:rPr>
          <w:rFonts w:ascii="Times New Roman;serif" w:hAnsi="Times New Roman;serif"/>
          <w:b/>
          <w:i/>
          <w:color w:val="000000"/>
          <w:sz w:val="20"/>
        </w:rPr>
        <w:t>General and administrative expenses</w:t>
      </w:r>
      <w:r>
        <w:rPr>
          <w:rFonts w:ascii="Times New Roman;serif" w:hAnsi="Times New Roman;serif"/>
          <w:b w:val="false"/>
          <w:color w:val="000000"/>
          <w:sz w:val="20"/>
        </w:rPr>
        <w:t>. General and administrative expenses were $4.7 million and $3.8 million for the three months ended June 30, 2026 and 2025, respectively. The increase of $0.9 million was due to a $0.7 million increase in noncash stock-based compensation and a $0.2 million increase in personnel-related expenses related to an overall increase in personnel from period to period.</w:t>
      </w:r>
    </w:p>
    <w:p>
      <w:pPr>
        <w:pStyle w:val="TextBody"/>
        <w:bidi w:val="0"/>
        <w:spacing w:lineRule="auto" w:line="288" w:before="0" w:after="200"/>
        <w:ind w:left="0" w:right="0" w:firstLine="540"/>
        <w:jc w:val="left"/>
        <w:rPr/>
      </w:pPr>
      <w:r>
        <w:rPr>
          <w:rFonts w:ascii="Times New Roman;serif" w:hAnsi="Times New Roman;serif"/>
          <w:b/>
          <w:i/>
          <w:color w:val="000000"/>
          <w:sz w:val="20"/>
        </w:rPr>
        <w:t>Interest income</w:t>
      </w:r>
      <w:r>
        <w:rPr>
          <w:rFonts w:ascii="Times New Roman;serif" w:hAnsi="Times New Roman;serif"/>
          <w:b w:val="false"/>
          <w:color w:val="000000"/>
          <w:sz w:val="20"/>
        </w:rPr>
        <w:t>. Interest income was $2.3 million and $2.0 million for the three months ended June 30, 2026 and 2025, respectively. The increase of $0.3 million was due to an increase in funds invested in marketable securities during the three months ended June 30, 2026 compared to the three months ended June 30, 2025.</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2026 and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tbl>
      <w:tblPr>
        <w:tblW w:w="6251" w:type="dxa"/>
        <w:jc w:val="left"/>
        <w:tblInd w:w="0" w:type="dxa"/>
        <w:tblLayout w:type="fixed"/>
        <w:tblCellMar>
          <w:top w:w="28" w:type="dxa"/>
          <w:left w:w="28" w:type="dxa"/>
          <w:bottom w:w="28" w:type="dxa"/>
          <w:right w:w="28" w:type="dxa"/>
        </w:tblCellMar>
      </w:tblPr>
      <w:tblGrid>
        <w:gridCol w:w="836"/>
        <w:gridCol w:w="735"/>
        <w:gridCol w:w="738"/>
        <w:gridCol w:w="211"/>
        <w:gridCol w:w="796"/>
        <w:gridCol w:w="109"/>
        <w:gridCol w:w="109"/>
        <w:gridCol w:w="109"/>
        <w:gridCol w:w="109"/>
        <w:gridCol w:w="211"/>
        <w:gridCol w:w="796"/>
        <w:gridCol w:w="109"/>
        <w:gridCol w:w="109"/>
        <w:gridCol w:w="109"/>
        <w:gridCol w:w="109"/>
        <w:gridCol w:w="211"/>
        <w:gridCol w:w="69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(1,680)</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(34,332)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(36,012)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(32,030)</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540"/>
        <w:jc w:val="left"/>
        <w:rPr/>
      </w:pPr>
      <w:r>
        <w:rPr>
          <w:rFonts w:ascii="Times New Roman;serif" w:hAnsi="Times New Roman;serif"/>
          <w:b/>
          <w:i/>
          <w:color w:val="000000"/>
          <w:sz w:val="20"/>
        </w:rPr>
        <w:t>Research and development expenses</w:t>
      </w:r>
      <w:r>
        <w:rPr>
          <w:rFonts w:ascii="Times New Roman;serif" w:hAnsi="Times New Roman;serif"/>
          <w:b w:val="false"/>
          <w:color w:val="000000"/>
          <w:sz w:val="20"/>
        </w:rPr>
        <w:t>. Research and development expenses were $24.4 million and $27.8 million for the six months ended June 30, 2026 and 2025, respectively. The decrease of $3.4 million from period to period was due to the following: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$4.6 million decrease in contract research organization costs due to a $4.4 million decrease in costs related to the completed VISTA Phase 2 clinical trial for PIPE-307 for the treatment of RRMS, a $1.8 million decrease in costs related to the completed Phase 1b PET trial for PIPE-791, and a $1.5 million decrease in costs related to the Phase 1b trial for PIPE-791 for the treatment of chronic pain partially offset by a $3.1 million increase in costs related to the Phase 2 trial for PIPE-791 for the treatment of IPF,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$1.9 million decrease in expenses for toxicology studies primarily for PIPE-791 and CTX-343.</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Partially offsetting these decreases was a $1.3 million increase in noncash stock-based compensation, $1.2 million increase in personnel-related expense related to an overall increase in personnel from period to period, $0.4 million increase in equipment costs, and $0.2 million increase in facilities costs. </w:t>
      </w:r>
    </w:p>
    <w:p>
      <w:pPr>
        <w:pStyle w:val="TextBody"/>
        <w:bidi w:val="0"/>
        <w:spacing w:lineRule="auto" w:line="288" w:before="0" w:after="200"/>
        <w:ind w:left="0" w:right="0" w:firstLine="540"/>
        <w:jc w:val="left"/>
        <w:rPr/>
      </w:pPr>
      <w:r>
        <w:rPr>
          <w:rFonts w:ascii="Times New Roman;serif" w:hAnsi="Times New Roman;serif"/>
          <w:b/>
          <w:i/>
          <w:color w:val="000000"/>
          <w:sz w:val="20"/>
        </w:rPr>
        <w:t>General and administrative expenses</w:t>
      </w:r>
      <w:r>
        <w:rPr>
          <w:rFonts w:ascii="Times New Roman;serif" w:hAnsi="Times New Roman;serif"/>
          <w:b w:val="false"/>
          <w:color w:val="000000"/>
          <w:sz w:val="20"/>
        </w:rPr>
        <w:t>. General and administrative expenses were $10.0 million and $8.2 million for the six months ended June 30, 2026 and 2025, respectively. The increase of $1.8 million was due to a $1.3 million increase in noncash stock-based compensation and a $0.4 million increase in personnel-related expenses related to an overall increase in personnel from period to period.</w:t>
      </w:r>
    </w:p>
    <w:p>
      <w:pPr>
        <w:pStyle w:val="TextBody"/>
        <w:bidi w:val="0"/>
        <w:spacing w:lineRule="auto" w:line="288" w:before="0" w:after="200"/>
        <w:ind w:left="0" w:right="0" w:firstLine="540"/>
        <w:jc w:val="left"/>
        <w:rPr/>
      </w:pPr>
      <w:r>
        <w:rPr>
          <w:rFonts w:ascii="Times New Roman;serif" w:hAnsi="Times New Roman;serif"/>
          <w:b/>
          <w:i/>
          <w:color w:val="000000"/>
          <w:sz w:val="20"/>
        </w:rPr>
        <w:t>Interest income</w:t>
      </w:r>
      <w:r>
        <w:rPr>
          <w:rFonts w:ascii="Times New Roman;serif" w:hAnsi="Times New Roman;serif"/>
          <w:b w:val="false"/>
          <w:color w:val="000000"/>
          <w:sz w:val="20"/>
        </w:rPr>
        <w:t>. Interest income was $4.9 million and $4.3 million for the six months ended June 30, 2026 and 2025, respectively. The increase of $0.6 million was due to an increase in funds invested in marketable securities during the 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and negative cash flows from operations in nearly every reporting period since our inception and anticipate that we will continue to incur net losses for the foreseeable future. We expect to incur substantial expenditures as we advance our drug candidates through clinical development, undergo the regulatory approval process, engage in other research and development activities to expand our pipeline of drug candidates, expand our operations and headcount, maintain and expand our intellectual property portfolio and, if we obtain approval for one or more of our drug candidates, launch commercial activities.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 June 30, 2026, we have funded our operations primarily from the sale of equity securities, convertible equity securities, and the J&amp;J License Agreement. Through June 30, 2026, we have raised gross proceeds of approximately $431.6 million through equity issuances and an upfront payment from the J&amp;J License Agreement of $50.0 million. As of June 30, 2026, we had an accumulated deficit of $207.0 million.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cash equivalents and marketable securities of $236.6 million. Based on our current operating plan, we believe that our existing cash and cash equivalents and marketable securities, will be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to meet our anticipated operating expenses and capital expenditure requirements through at least the next 12 months following the date of this Quarterly Report on Form 10-Q.</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May 2025, we entered into the ATM Sales Agreement relating to the offer and sale of up to $75.0 million in shares of our Class A common stock, par value $0.001 per share in the ATM Program. During the year ended December 31, 2025, we sold 3,241,110 shares of our Class A common stock pursuant to the ATM Sales Agreement generating net proceeds of $19.0 million. In March 2026, we entered into the ATM Amendment with Leerink Partners to increase the aggregate offering price of the shares of our Class A common stock that we may sell pursuant to the ATM Sales Agreement. In connection with the ATM Amendment, we filed the ATM Prospectus Supplement for the offer and sale of up to $100.0 million in shares of our Class A common stock under the Amended ATM Sales Agreement, exclusive of amounts previously sold under the ATM Sales Agreement. We did not sell any shares of our Class A common stock under the Amended ATM Sales Agreement during the three and six months ended June 30, 2026.</w:t>
      </w:r>
    </w:p>
    <w:p>
      <w:pPr>
        <w:pStyle w:val="TextBody"/>
        <w:bidi w:val="0"/>
        <w:spacing w:before="0" w:after="0"/>
        <w:jc w:val="left"/>
        <w:rPr/>
      </w:pPr>
      <w:r>
        <w:rPr/>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2025, we completed a follow-on public offering in which 8,097,570 shares of our Class A common stock were sold at a public offering price of $12.25 per share resulting in aggregate net proceeds of $93.0 million.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continue to pursue our business plan, we expect to finance our operations through both public and private sales of equity, debt financings or other commercial arrangements, which could include milestone payments from collaborations, strategic partnerships or marketing, distribution, licensing or other strategic arrangements with third parties. However, there can be no assurance that any additional financing or strategic transactions will be available to us on acceptable terms, if at all. If events or circumstances occur such that we do not obtain additional funding, we may need to delay, reduce or eliminate our product development or future commercialization efforts, which could have a material adverse effect on our business, results of operations or financial condition. Further, if we raise funds through licensing or other commercial arrangements with third parties, we may be required to relinquish valuable rights to our technology, future revenue streams, research programs or drug candidates or may be required to grant licenses on terms that may not be favorable to us and/or may reduce the value of our common stock.</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cash flows for the periods indicated (in thousands):</w:t>
      </w:r>
    </w:p>
    <w:tbl>
      <w:tblPr>
        <w:tblW w:w="6803" w:type="dxa"/>
        <w:jc w:val="left"/>
        <w:tblInd w:w="0" w:type="dxa"/>
        <w:tblLayout w:type="fixed"/>
        <w:tblCellMar>
          <w:top w:w="28" w:type="dxa"/>
          <w:left w:w="28" w:type="dxa"/>
          <w:bottom w:w="28" w:type="dxa"/>
          <w:right w:w="28" w:type="dxa"/>
        </w:tblCellMar>
      </w:tblPr>
      <w:tblGrid>
        <w:gridCol w:w="1519"/>
        <w:gridCol w:w="1338"/>
        <w:gridCol w:w="1342"/>
        <w:gridCol w:w="211"/>
        <w:gridCol w:w="796"/>
        <w:gridCol w:w="109"/>
        <w:gridCol w:w="109"/>
        <w:gridCol w:w="109"/>
        <w:gridCol w:w="109"/>
        <w:gridCol w:w="211"/>
        <w:gridCol w:w="79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(27,767)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(30,073)</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(60,892)</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$27.8 million for the six months ended June 30, 2026, which primarily related to our net loss of $29.6 million and a $5.9 million change in operating assets and liabilities, partially offset by $7.8 million of noncash charges for stock-based compensation, depreciation and amortization, accretion of premiums/discounts on investments, and noncash operating lease expense. Net cash used in operating activities was $30.1 million for the six months ended June 30, 2025, which primarily related to our net loss of $32.0 million and a $3.0 million change in operating assets and liabilities, partially offset by $4.9 million of non-cash charges for stock-based compensation, depreciation and amortization, accretion of premiums/discounts on investments, and non-cash operating lease expense.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$34.5 million for the six months ended June 30, 2026, which related to $142.9 million of purchases of marketable securities and $0.3 million of purchases of property and equipment, partially offset by $108.8 million of sales and maturities of marketable securities. Net cash provided by investing activities was $28.8 million for the six months ended June 30, 2025, which primarily related to $88.0 million of sales and maturities of marketable securities, partially offset by $59.1 million of purchases of marketable securities and $0.1 million of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approximately $1.3 million for the six months ended June 30, 2026, which was primarily related to $0.8 million of proceeds from the employee stock purchase plan and $0.7 million of proceeds from the exercise of stock options, partially offset by $0.1 million in payments of deferred offering costs. Net cash provided by financing activities was $0.1 million for the six months ended June 30, 2025, which primarily related to $0.3 million of proceeds from the employee stock purchase plan, partially offset by $0.2 million in payments of deferred offering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our operating expenses to significantly increase as we continue to develop and seek regulatory approvals for our drug candidates, engage in other research and development activities to expand our pipeline of drug candidates, expand our operations and headcount, maintain and expand our intellectual property portfolio, and, if we obtain approval for one or more of our drug candidates, launch commercial activities. However, our forecast of the period of time through which our financial resources will be adequate to support our operations is a forward-looking statement that involves risks and uncertainties, and our actual results could vary materially. We have based this estimate on assumptions that may prove to be wrong, and we could deplete our capital resources sooner than we expect. Additionally, the process of testing our drug candidates in clinical trials is costly, and the timing of progress and expenses in these trials is uncertain.</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type, number, scope, progress, expansions, results, costs and timing of, our clinical trials and preclinical studies for our drug candidates or other potential drug candidates or indications which we are pursuing or may choose to pursue in the future;</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outcome, timing and costs of regulatory review of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costs and timing of manufacturing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efforts to enhance our operational systems and hire additional personnel to satisfy our obligations as a public company, including enhanced internal controls over financial reporting;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costs associated with hiring additional personnel and consultants as our preclinical and clinical activities expand;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costs and timing of establishing or securing manufacturing facilities for our drug candidates;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costs and timing of establishing sales and marketing capabilities if any of our drug candidates are approved;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ability to establish and maintain strategic collaborations, licensing or other arrangements;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financial terms of any such agreements that we may enter into;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decision to elect to fund a portion of Phase 3 and subsequent development costs for PIPE-307;</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costs of obtaining, maintaining and enforcing our patent and other intellectual property rights;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costs associated with any drug candidates, products or technologies that we may in-license or acquire.</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as we can generate significant revenue from sales of our drug candidates, if ever, we expect to finance our cash needs through public or private equity or debt financings or other commercial arrangements, including collaborations, strategic partnerships or marketing, distribution, licensing or other strategic arrangements with third parties. We may be unable to raise additional funds or enter into such commercial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be required to relinquish valuable rights to our drug candidates, future revenue streams or research programs or may be required to grant licenses on terms that may not be favorable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and may reduce the value of our common stock. If we are unable to raise additional funds through equity or debt financings or through commercial arrangements when needed, we may be required to delay, limit, reduce or terminate our product development or future commercialization efforts or grant rights to develop and market our drug candidates even if we would otherwise prefer to develop and market such drug candidates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contractual obligations and commitments relate to our operating leases that relate primarily to our leases of office and laboratory space in San Diego, California and leased equipment used in connection with our on-going Phase 2 clinical trial of PIPE-791 for the treatment of IPF. Our total contractual commitments for our lease agreements amount to approximately $7.4 million as of June 30, 2026.</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periods presented, we did not have, nor do we currently have, any off-balance sheet arrangements as defined under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 xml:space="preserve">Critical Accounting Policies and Significant Judgments and Estimates </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our assets, liabilities, revenue, and expenses and the disclosure of contingent assets and liabilities in our financial statements and accompanying notes. On an ongoing basis, we evaluate our estimates and judgments, including those related to the accrual of research and development expenses; stock-based compensation, and common stock valuation. We base our estimates and assumptions on historical experience, known trends and events, and various other factors that we believe are reasonable and appropriate under the circumstances, the results of which form the basis for making judgments about the carrying values of our assets and liabilities that are not readily apparent from other sources. Our actual results may differ from these estimates under different assumptions or conditions.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from those described under our “Management’s Discussion and Analysis of Financial Condition and Results of Operations – Critical Accounting Policies and Significant Judgments and Estimates”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 We will remain an emerging growth company until the earliest to occur of: (i) the last day of the fiscal year in which we have more than $1.235 billion in annual gross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or (iv) December 31, 2029, the last day of the fiscal year ending after the fifth anniversary of our IPO.</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as defined in the Exchange Act. Even after we no longer qualify as an emerging growth company, we may continue to qualify as a “smaller reporting company,” which would allow us to take advantage of many of the same exemptions from disclosure requirements,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by Rule 12b-2 of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required by Rules 13a-15(b) and 15d-15(b) of the Exchange Act, our management with the participation of our Chief Executive Officer and our Chief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our Chief Financial Officer concluded that, as of such date, our disclosure controls and procedures were effective at the reasonable assurance level.</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various legal proceedings and claims that arise in the ordinary course of our business activities. We are not currently a party to any material legal proceedings. Regardless of the outcome, litigation could have an adverse impact on us because of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In addition to the information set forth in this Quarterly Report on Form 10-Q, including the section titled “Management’s Discussion and Analysis of Financial Condition and Results of Operations” and our condensed financial statements and related notes, you should consider carefully the factors discussed in Part I, Item 1A, “Risk Factors” in our Annual Report on Form 10-K for the year ended December 31, 2025, filed with the SEC on March 5, 2026. The occurrence of any of the risks and uncertainties described in such Annual Report could materially and adversely affect our business, financial condition, results of operations and prospects. In that event, the price of our common stock could decline and you could lose part or all of your investment. Furthermore, such risks are not the only ones we face; additional risks and uncertainties not currently known or that we currently deem to be immaterial may also materially adversely affect our business, financial condition or results of operations. The below risk factor updates and replaces the risk factor with the same title in Part I, Item 1A, “Risk Factors” of the Company’s Annual Report on Form 10-K. Except as set forth below, there have been no material changes from the risk factors set forth in Part I, Item 1A of the Company’s Annual Report on Form 10-K.</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currently rely on third-party CMOs for the production of clinical supplies of PIPE-791 and we intend to rely on CMOs for our future drug candidates, as well as to supply the raw materials necessary to produce our drug candidates. We may elect to continue to rely on CMOs for the production of commercial supplies of PIPE-791, if approved. Our dependence on CMOs may impair our development of drug candidates and may impair their commercialization, which would adversely impact our business and financial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own facilities to manufacture PIPE-791, PIPE-307 or any of our drug candidates in development. Instead, we rely on and expect to continue to rely on CMOs for the supply of cGMP grade clinical trial materials of PIPE-791 and any other drug candidates we develop. We relied on CMOs to supply the clinical trial materials for our recently completed Phase 2 clinical trial of PIPE-307 and, going forward, J&amp;J may continue to rely on CMOs for the future development, manufacture and potential commercialization of PIPE-307. We intend to continue to rely on CMOs for the production of commercial supplies of PIPE-791, if approved. Reliance on CMOs may expose us to more risk than if we were to manufacture our drug candidates ourselves. If any CMO we engage is unable to provide sufficient supply of any drug candidate we develop, we may be unable to arrange for an alternative supply or to do so on commercially reasonable terms or in a timely manner, which could delay any clinical trials, the commercial launch of a drug candidate, if approved, or, regarding any commercial supply, result in a shortage in supply that could negatively impact our revenues. Transitioning to a new CMO for a drug candidate is time consuming and costly. We have identified, but have not contracted with, other CMOs as back-up for the manufacture and supply of PIPE-791. As a result, if the CMO currently involved in the manufacture and supply of PIPE-791, WuXi AppTec, experiences a delay or disruption, we may not have sufficient quantities of PIPE-791 for our clinical trials and may not be able to transition to a new CMO in a timely or cost- effective manner, or at all, which would negatively impact our ability to develop, complete our planned clinical trials for PIPE-791.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Similarly, we contract for the supply of the APIs and other raw materials necessary to produce PIPE-791. We currently intend to contract in the future for the supply of these APIs and other raw materials for any other drug candidate we develop. Supplies of our APIs or other raw materials could be interrupted from time to time and we cannot be certain that alternative supplies could be obtained within a reasonable time frame, at an acceptable cost, or at all. In addition, a disruption in the supply of any required API or other raw material could delay the commencement of a planned clinical trial or the delay the commercial launch of a drug candidate, if approved, or result in a shortage in supply, which would impair our ability to generate revenues. Growth in the costs and expenses of our APIs or other raw materials may also impair our ability to cost-effectively manufacture a drug candidate. In addition, there may be a limited number of suppliers for the APIs or other raw materials that we may use to manufacture a drug candidate, and we cannot be certain that we will be able to engage such suppliers in a timely manner or at all. If we are unable to do so, clinical development of a drug candidate, commercialization for any approved product, or our business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to manufacture the drug candidates we develop, as well as the included APIs, must be inspected by the FDA and comparable foreign regulatory authorities. While we provide oversight of manufacturing activities, we do not and will not control the execution of manufacturing activities by, and are or will be dependent on, our CMOs for compliance with cGMP requirements for the manufacture of a drug candidate. In addition, we have limited control over the ability of our CMOs to maintain adequate quality control, quality assurance, and qualified personnel, and we were not involved in developing our CMOs’ policies and procedures. As a result, we are subject to the risk that a drug candidate may have manufacturing defects that we have limited ability to prevent. If a CMO cannot successfully manufacture material that conforms to our specifications and the regulatory requirements, we will not be able to secure or maintain regulatory approval for the use of the drug candidate in clinical trials, or for commercial distribution of the drug candidate, if approved.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or comparable foreign regulatory authority finds deficiencies with or does not approve these facilities for the manufacture of the drug candidates we develop or if it withdraws any such approval or finds deficiencies in the future, we may need to find alternative manufacturing facilities, which would delay our development program and planned clinical trials and significantly impact our ability to develop, obtain regulatory approval for, or commercialize such drug candidates, if approved. In addition, any failure to achieve and maintain compliance with laws, regulations, and standards related to manufacturing could subject us to risks, including the risk that we may have to suspend the manufacture of a drug candidate, that obtained approvals could be revoked, and that the FDA or another governmental regulatory authority may take enforcement actions, including untitled letters, warning letters, seizures, injunctions, or product recalls. In addition, foreign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BIOSECURE Act, which was signed into law in December 2025 as part of the National Defense Authorization Act for FY 2026, prohibits U.S. federal agencies from entering into or renewing any contract, loan, or grant with any entity that uses biotechnology equipment or services produced or provided by a “biotechnology company of concern” to perform that contract as well as authorizes the U.S. government to name additional Chinese “biotechnology companies of concern.”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WuXi AppTec, our current CMO for the manufacture and supply of PIPE-791, was designated on the 1260H List on June 8, 2026. There is, however an applicable safe harbor provision providing that the restrictions do not apply to equipment or services that were formerly but are no longer provided by a “biotechnology company of concern,” as well as an applicable grandfathering provision providing that the prohibitions shall not apply for a five-year period to biotechnology equipment or services produced or provided under a contract or agreement entered into before the applicable effective date. If WuXi AppTec is ultimately designated as a “biotechnology company of concern” by OMB, we may be restricted in the future in our ability to work with WuXi AppTec to the extent we contract with, or otherwise receive funding from, the U.S. government. As a result, we may need to seek alternative CMO relationships. While we believe we will be able to identify and contract with such alternative CMOs, we cannot predict the terms of any such alternative arrangement. In addition to the BIOSECURE Act, any additional executive action, legislative action, or potential sanctions with China could materially impact our work with WuXi AppTec.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Furthermore, CMOs may breach existing agreements they have with us because of factors beyond our control. They may also terminate or refuse to renew their agreement at a time that is costly or otherwise inconvenient for us. If we were unable to find an adequate CMO or another acceptable solution in time, our clinical trials could be delayed, or our commercial activities could be harmed.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Finding new CMOs or third-party suppliers involves additional cost and requires our management’s time and focus. In addition, there is typically a transition period when a new CMO commences work. Although we have not, and do not intend to, begin a clinical trial unless we believe we have on hand, or will be able to obtain, a sufficient supply of the drug candidate to complete the clinical trial, any significant delay in the supply of the drug candidate or the raw materials needed to produce the drug candidate, could adversely affect our business in a number of ways, including but not limited to:</w:t>
      </w:r>
    </w:p>
    <w:p>
      <w:pPr>
        <w:pStyle w:val="TextBody"/>
        <w:bidi w:val="0"/>
        <w:spacing w:before="0" w:after="0"/>
        <w:ind w:left="0" w:right="0" w:firstLine="720"/>
        <w:jc w:val="left"/>
        <w:rPr/>
      </w:pPr>
      <w:r>
        <w:rPr/>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 inability to initiate or continue clinical trials of our drug candidates under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delay in submitting regulatory applications, or receiving marketing approvals, for our drug candidates;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loss of the cooperation of an existing or future collaborator;</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subjecting third-party manufacturing facilities or our manufacturing facilities to additional inspections by regulatory authorities;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economic loss and additional costs resulting from starting materials, intermediates, API or drug product that cannot be used in clinical trials or for other purposes;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requirements to cease development or to recall batches of our drug candidates;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in the event of approval to market and commercialize our drug candidates, an inability to meet commercial demands for our product or any other future drug candidates.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their manufacture of our drug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complete our planned clinical trials, obtain regulatory approval for, or commercialize a drug candidate, if approved.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ind w:left="0" w:right="0" w:firstLine="540"/>
        <w:jc w:val="left"/>
        <w:rPr/>
      </w:pPr>
      <w:r>
        <w:rPr>
          <w:rFonts w:ascii="Times New Roman;serif" w:hAnsi="Times New Roman;serif"/>
          <w:b/>
          <w:color w:val="000000"/>
          <w:sz w:val="20"/>
        </w:rPr>
        <w:t>(a)</w:t>
      </w:r>
      <w:r>
        <w:rPr>
          <w:color w:val="000000"/>
        </w:rPr>
        <w:t xml:space="preserve"> </w:t>
      </w:r>
      <w:r>
        <w:rPr>
          <w:rFonts w:ascii="Times New Roman;serif" w:hAnsi="Times New Roman;serif"/>
          <w:b/>
          <w:color w:val="000000"/>
          <w:sz w:val="20"/>
        </w:rPr>
        <w:t>Recent Sales of Unregistered Equity Securities.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 Use of Proceeds from Initial Public Offering of Common Stock.</w:t>
      </w:r>
    </w:p>
    <w:p>
      <w:pPr>
        <w:pStyle w:val="TextBody"/>
        <w:bidi w:val="0"/>
        <w:spacing w:lineRule="auto" w:line="288" w:before="0" w:after="200"/>
        <w:ind w:left="0" w:right="0" w:firstLine="720"/>
        <w:jc w:val="left"/>
        <w:rPr/>
      </w:pPr>
      <w:r>
        <w:rPr>
          <w:rFonts w:ascii="Times New Roman;serif" w:hAnsi="Times New Roman;serif"/>
          <w:b w:val="false"/>
          <w:color w:val="000000"/>
          <w:sz w:val="20"/>
          <w:shd w:fill="FFFFFF" w:val="clear"/>
        </w:rPr>
        <w:t xml:space="preserve">On April 4, 2024, our registration statement on Form S-1 (333-278003) relating to the initial public offering of our common stock was declared effective by the SEC (the </w:t>
      </w:r>
      <w:r>
        <w:rPr>
          <w:color w:val="000000"/>
        </w:rPr>
        <w:t>“</w:t>
      </w:r>
      <w:r>
        <w:rPr>
          <w:rFonts w:ascii="Times New Roman;serif" w:hAnsi="Times New Roman;serif"/>
          <w:b w:val="false"/>
          <w:color w:val="000000"/>
          <w:sz w:val="20"/>
          <w:shd w:fill="FFFFFF" w:val="clear"/>
        </w:rPr>
        <w:t>Registration Statement</w:t>
      </w:r>
      <w:r>
        <w:rPr>
          <w:color w:val="000000"/>
        </w:rPr>
        <w:t>”</w:t>
      </w:r>
      <w:r>
        <w:rPr>
          <w:rFonts w:ascii="Times New Roman;serif" w:hAnsi="Times New Roman;serif"/>
          <w:b w:val="false"/>
          <w:color w:val="000000"/>
          <w:sz w:val="20"/>
          <w:shd w:fill="FFFFFF" w:val="clear"/>
        </w:rPr>
        <w:t xml:space="preserve">). Pursuant to such Registration Statement, we issued and sold an aggregate of 7,423,682 shares of our common stock, which includes 548,682 shares sold pursuant to the underwriters’ partial exercise of their option to purchase additional shares, at the public offering price of $16.00 per share. On April 9, 2024, we closed the sale of 6,875,000 shares and on April 19, 2024, we closed the sale of the 548,682 shares sold pursuant to the underwriters’ exercise of their option to purchase additional shares. The aggregate offering price for shares sold in the IPO was approximately $118.8 million, resulting in aggregate net proceeds of approximately $107.9 million, after deducting the underwriting discounts, commissions and offering expenses paid or payable by us. </w:t>
      </w:r>
      <w:r>
        <w:rPr>
          <w:rFonts w:ascii="Times New Roman;serif" w:hAnsi="Times New Roman;serif"/>
          <w:b w:val="false"/>
          <w:color w:val="000000"/>
          <w:sz w:val="20"/>
        </w:rPr>
        <w:t>No offering expenses were paid or payable, directly or indirectly, to our directors, officers, persons owning 10% or more of any class of our equity securities, or to any of our affiliates.</w:t>
      </w:r>
      <w:r>
        <w:rPr>
          <w:color w:val="000000"/>
          <w:shd w:fill="FFFFFF" w:val="clear"/>
        </w:rPr>
        <w:t xml:space="preserve"> </w:t>
      </w:r>
      <w:r>
        <w:rPr>
          <w:rFonts w:ascii="Times New Roman;serif" w:hAnsi="Times New Roman;serif"/>
          <w:b w:val="false"/>
          <w:color w:val="000000"/>
          <w:sz w:val="20"/>
        </w:rPr>
        <w:t>Goldman Sachs &amp; Co. LLC, Morgan Stanley &amp; Co. LLC, Stifel Nicolaus &amp; Company, Incorporated and RBC Capital Markets, LLC acted as joint book-running managers for the IPO.</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planned use of proceeds from the IPO from those described in the final Prospectus, dated April 4, 2024, filed with the SEC on April 8, 2024, pursuant to Rule 424(b) of the Securities Act.</w:t>
      </w:r>
    </w:p>
    <w:p>
      <w:pPr>
        <w:pStyle w:val="TextBody"/>
        <w:bidi w:val="0"/>
        <w:spacing w:lineRule="auto" w:line="288" w:before="0" w:after="200"/>
        <w:ind w:left="0" w:right="0" w:firstLine="540"/>
        <w:jc w:val="left"/>
        <w:rPr/>
      </w:pPr>
      <w:r>
        <w:rPr>
          <w:rFonts w:ascii="Times New Roman;serif" w:hAnsi="Times New Roman;serif"/>
          <w:b/>
          <w:color w:val="000000"/>
          <w:sz w:val="20"/>
        </w:rPr>
        <w:t>(c)</w:t>
      </w:r>
      <w:r>
        <w:rPr>
          <w:color w:val="000000"/>
        </w:rPr>
        <w:t xml:space="preserve"> </w:t>
      </w:r>
      <w:r>
        <w:rPr>
          <w:rFonts w:ascii="Times New Roman;serif" w:hAnsi="Times New Roman;serif"/>
          <w:b/>
          <w:color w:val="000000"/>
          <w:sz w:val="20"/>
        </w:rPr>
        <w:t xml:space="preserve">Issuer Purchases of Equity Securities.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pPr>
      <w:r>
        <w:rPr>
          <w:rFonts w:ascii="Times New Roman;serif" w:hAnsi="Times New Roman;serif"/>
          <w:b/>
          <w:color w:val="000000"/>
          <w:sz w:val="20"/>
        </w:rPr>
        <w:t xml:space="preserve">Item </w:t>
      </w:r>
      <w:r>
        <w:rPr>
          <w:rFonts w:ascii="Times New Roman;serif" w:hAnsi="Times New Roman;serif"/>
          <w:b/>
          <w:i/>
          <w:color w:val="000000"/>
          <w:sz w:val="20"/>
        </w:rPr>
        <w:t>5.</w:t>
      </w:r>
      <w:r>
        <w:rPr>
          <w:color w:val="000000"/>
        </w:rPr>
        <w:t xml:space="preserve"> </w:t>
      </w:r>
      <w:r>
        <w:rPr>
          <w:rFonts w:ascii="Times New Roman;serif" w:hAnsi="Times New Roman;serif"/>
          <w:b/>
          <w:color w:val="000000"/>
          <w:sz w:val="20"/>
        </w:rPr>
        <w:t>Other Information.</w:t>
      </w:r>
    </w:p>
    <w:p>
      <w:pPr>
        <w:pStyle w:val="TextBody"/>
        <w:bidi w:val="0"/>
        <w:spacing w:lineRule="auto" w:line="288" w:before="0" w:after="20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adopted or terminated any Rule 10b5-1 trading arrangement or any non-Rule 10b5-1 trading arrangement (as such terms are defined pursuant to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7"/>
        <w:gridCol w:w="261"/>
        <w:gridCol w:w="263"/>
        <w:gridCol w:w="109"/>
        <w:gridCol w:w="109"/>
        <w:gridCol w:w="109"/>
        <w:gridCol w:w="1854"/>
        <w:gridCol w:w="1733"/>
        <w:gridCol w:w="1750"/>
        <w:gridCol w:w="197"/>
        <w:gridCol w:w="197"/>
        <w:gridCol w:w="193"/>
        <w:gridCol w:w="276"/>
        <w:gridCol w:w="276"/>
        <w:gridCol w:w="177"/>
        <w:gridCol w:w="245"/>
        <w:gridCol w:w="245"/>
        <w:gridCol w:w="246"/>
        <w:gridCol w:w="244"/>
        <w:gridCol w:w="244"/>
        <w:gridCol w:w="245"/>
        <w:gridCol w:w="271"/>
        <w:gridCol w:w="271"/>
        <w:gridCol w:w="39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Filed</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58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7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3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Herewith</w:t>
            </w:r>
          </w:p>
        </w:tc>
      </w:tr>
      <w:tr>
        <w:trPr/>
        <w:tc>
          <w:tcPr>
            <w:tcW w:w="8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FF"/>
                  <w:sz w:val="20"/>
                  <w:u w:val="single"/>
                </w:rPr>
                <w:t>Amended and Restated Certificate of Incorporation of the Registrant.</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001-42001</w:t>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04/09/2024</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erif" w:hAnsi="Times New Roman;serif"/>
                  <w:b w:val="false"/>
                  <w:color w:val="0000FF"/>
                  <w:sz w:val="20"/>
                  <w:u w:val="single"/>
                </w:rPr>
                <w:t>Amended and Restated Bylaws of the Registrant.</w:t>
              </w:r>
            </w:hyperlink>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001-42001</w:t>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7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04/09/2024</w:t>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610-q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610-q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610-q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610-q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2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*The certifications furnished in Exhibit 32.1 and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aa75e312dbc4c53824ad1db6493b10c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813" w:type="dxa"/>
        <w:jc w:val="left"/>
        <w:tblInd w:w="0" w:type="dxa"/>
        <w:tblLayout w:type="fixed"/>
        <w:tblCellMar>
          <w:top w:w="28" w:type="dxa"/>
          <w:left w:w="28" w:type="dxa"/>
          <w:bottom w:w="28" w:type="dxa"/>
          <w:right w:w="28" w:type="dxa"/>
        </w:tblCellMar>
      </w:tblPr>
      <w:tblGrid>
        <w:gridCol w:w="445"/>
        <w:gridCol w:w="392"/>
        <w:gridCol w:w="393"/>
        <w:gridCol w:w="432"/>
        <w:gridCol w:w="432"/>
        <w:gridCol w:w="432"/>
        <w:gridCol w:w="1303"/>
        <w:gridCol w:w="1303"/>
        <w:gridCol w:w="130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Carmine Stengone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Carmine Stengone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05" w:type="dxa"/>
        <w:jc w:val="left"/>
        <w:tblInd w:w="0" w:type="dxa"/>
        <w:tblLayout w:type="fixed"/>
        <w:tblCellMar>
          <w:top w:w="28" w:type="dxa"/>
          <w:left w:w="28" w:type="dxa"/>
          <w:bottom w:w="28" w:type="dxa"/>
          <w:right w:w="28" w:type="dxa"/>
        </w:tblCellMar>
      </w:tblPr>
      <w:tblGrid>
        <w:gridCol w:w="445"/>
        <w:gridCol w:w="392"/>
        <w:gridCol w:w="393"/>
        <w:gridCol w:w="134"/>
        <w:gridCol w:w="134"/>
        <w:gridCol w:w="136"/>
        <w:gridCol w:w="1697"/>
        <w:gridCol w:w="1697"/>
        <w:gridCol w:w="1705"/>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Peter Slover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Carmine Stengone, certify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Contineum Therapeutics, Inc.;</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28" w:type="dxa"/>
        <w:jc w:val="left"/>
        <w:tblInd w:w="0" w:type="dxa"/>
        <w:tblLayout w:type="fixed"/>
        <w:tblCellMar>
          <w:top w:w="28" w:type="dxa"/>
          <w:left w:w="28" w:type="dxa"/>
          <w:bottom w:w="28" w:type="dxa"/>
          <w:right w:w="28" w:type="dxa"/>
        </w:tblCellMar>
      </w:tblPr>
      <w:tblGrid>
        <w:gridCol w:w="445"/>
        <w:gridCol w:w="392"/>
        <w:gridCol w:w="393"/>
        <w:gridCol w:w="432"/>
        <w:gridCol w:w="432"/>
        <w:gridCol w:w="432"/>
        <w:gridCol w:w="809"/>
        <w:gridCol w:w="809"/>
        <w:gridCol w:w="812"/>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Carmine Stengone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Carmine Stengone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Peter Slover, certify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Contineum Therapeutics, Inc.;</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997" w:type="dxa"/>
        <w:jc w:val="left"/>
        <w:tblInd w:w="0" w:type="dxa"/>
        <w:tblLayout w:type="fixed"/>
        <w:tblCellMar>
          <w:top w:w="28" w:type="dxa"/>
          <w:left w:w="28" w:type="dxa"/>
          <w:bottom w:w="28" w:type="dxa"/>
          <w:right w:w="28" w:type="dxa"/>
        </w:tblCellMar>
      </w:tblPr>
      <w:tblGrid>
        <w:gridCol w:w="445"/>
        <w:gridCol w:w="392"/>
        <w:gridCol w:w="393"/>
        <w:gridCol w:w="432"/>
        <w:gridCol w:w="432"/>
        <w:gridCol w:w="432"/>
        <w:gridCol w:w="1697"/>
        <w:gridCol w:w="1697"/>
        <w:gridCol w:w="1705"/>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Slover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Contineum Therapeutics, Inc. (the “Company”) on Form 10-Q for the period ended June 30, 2026, as filed with the Securities and Exchange Commission on the date hereof (the “Report”), I, Carmine Stengone, President and Chief Executive Officer of the Company, hereby certify, pursuant to 18 U.S.C. Section 1350, as adopted pursuant to Section 906 of the Sarbanes-Oxley Act of 2002, that: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062" w:type="dxa"/>
        <w:jc w:val="left"/>
        <w:tblInd w:w="0" w:type="dxa"/>
        <w:tblLayout w:type="fixed"/>
        <w:tblCellMar>
          <w:top w:w="28" w:type="dxa"/>
          <w:left w:w="28" w:type="dxa"/>
          <w:bottom w:w="28" w:type="dxa"/>
          <w:right w:w="28" w:type="dxa"/>
        </w:tblCellMar>
      </w:tblPr>
      <w:tblGrid>
        <w:gridCol w:w="445"/>
        <w:gridCol w:w="392"/>
        <w:gridCol w:w="393"/>
        <w:gridCol w:w="432"/>
        <w:gridCol w:w="432"/>
        <w:gridCol w:w="432"/>
        <w:gridCol w:w="1053"/>
        <w:gridCol w:w="1053"/>
        <w:gridCol w:w="1058"/>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Carmine Stengone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Carmine Stengone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Contineum Therapeutics, Inc. (the “Company”) on Form 10-Q for the period ended June 30, 2026, as filed with the Securities and Exchange Commission on the date hereof (the “Report”), I, Peter Slover, Chief Financial Officer of the Company, hereby certify, pursuant to 18 U.S.C. Section 1350, as adopted pursuant to Section 906 of the Sarbanes-Oxley Act of 2002, that:</w:t>
      </w:r>
    </w:p>
    <w:p>
      <w:pPr>
        <w:pStyle w:val="TextBody"/>
        <w:bidi w:val="0"/>
        <w:spacing w:lineRule="auto" w:line="288" w:before="0" w:after="20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997" w:type="dxa"/>
        <w:jc w:val="left"/>
        <w:tblInd w:w="0" w:type="dxa"/>
        <w:tblLayout w:type="fixed"/>
        <w:tblCellMar>
          <w:top w:w="28" w:type="dxa"/>
          <w:left w:w="28" w:type="dxa"/>
          <w:bottom w:w="28" w:type="dxa"/>
          <w:right w:w="28" w:type="dxa"/>
        </w:tblCellMar>
      </w:tblPr>
      <w:tblGrid>
        <w:gridCol w:w="445"/>
        <w:gridCol w:w="392"/>
        <w:gridCol w:w="393"/>
        <w:gridCol w:w="432"/>
        <w:gridCol w:w="432"/>
        <w:gridCol w:w="432"/>
        <w:gridCol w:w="1697"/>
        <w:gridCol w:w="1697"/>
        <w:gridCol w:w="1705"/>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Contineum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Slover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175/000119312524090917/d811673dex31.htm" TargetMode="External"/><Relationship Id="rId4" Type="http://schemas.openxmlformats.org/officeDocument/2006/relationships/hyperlink" Target="https://www.sec.gov/Archives/edgar/data/1855175/000119312524090917/d811673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18042</Words>
  <Characters>101048</Characters>
  <CharactersWithSpaces>117901</CharactersWithSpaces>
  <Paragraphs>1861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